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41898" w14:textId="76494446" w:rsidR="00765CE7" w:rsidRPr="001727D4" w:rsidRDefault="002D2EF3">
      <w:pPr>
        <w:rPr>
          <w:b/>
          <w:color w:val="auto"/>
        </w:rPr>
      </w:pPr>
      <w:bookmarkStart w:id="0" w:name="_GoBack"/>
      <w:bookmarkEnd w:id="0"/>
      <w:r>
        <w:t xml:space="preserve">                                                                                                                                </w:t>
      </w:r>
      <w:r w:rsidRPr="002417D3">
        <w:rPr>
          <w:color w:val="FF0000"/>
        </w:rPr>
        <w:t xml:space="preserve">  </w:t>
      </w:r>
      <w:r w:rsidR="001727D4">
        <w:rPr>
          <w:b/>
          <w:color w:val="auto"/>
        </w:rPr>
        <w:t>NACRT</w:t>
      </w:r>
    </w:p>
    <w:p w14:paraId="632048A6" w14:textId="77777777" w:rsidR="00765CE7" w:rsidRDefault="00765CE7"/>
    <w:p w14:paraId="688FE271" w14:textId="77777777" w:rsidR="00765CE7" w:rsidRDefault="00765CE7"/>
    <w:p w14:paraId="72EEF698" w14:textId="77777777" w:rsidR="00765CE7" w:rsidRDefault="00765CE7"/>
    <w:p w14:paraId="5477147D" w14:textId="77777777" w:rsidR="00765CE7" w:rsidRDefault="00765CE7"/>
    <w:p w14:paraId="7759CF35" w14:textId="77777777" w:rsidR="00765CE7" w:rsidRDefault="00765CE7"/>
    <w:p w14:paraId="4B6F0F40" w14:textId="77777777" w:rsidR="00765CE7" w:rsidRDefault="00765CE7"/>
    <w:p w14:paraId="7EA8F2C5" w14:textId="77777777" w:rsidR="00765CE7" w:rsidRDefault="00765CE7"/>
    <w:p w14:paraId="32767EAE" w14:textId="77777777" w:rsidR="00765CE7" w:rsidRDefault="00765CE7"/>
    <w:p w14:paraId="06E6B0A8" w14:textId="77777777" w:rsidR="00765CE7" w:rsidRDefault="00765CE7"/>
    <w:p w14:paraId="5B13CF88" w14:textId="77777777" w:rsidR="00765CE7" w:rsidRDefault="00765CE7"/>
    <w:p w14:paraId="220D7E95" w14:textId="77777777" w:rsidR="00765CE7" w:rsidRDefault="00765CE7"/>
    <w:p w14:paraId="7ABDDC5D" w14:textId="77777777" w:rsidR="00765CE7" w:rsidRDefault="00765CE7"/>
    <w:p w14:paraId="60BBCB80" w14:textId="77777777" w:rsidR="00765CE7" w:rsidRDefault="00765CE7"/>
    <w:p w14:paraId="1F7AE71C" w14:textId="77777777" w:rsidR="00765CE7" w:rsidRDefault="00765CE7"/>
    <w:p w14:paraId="4900EF71" w14:textId="77777777" w:rsidR="00765CE7" w:rsidRDefault="00765CE7"/>
    <w:p w14:paraId="43EEACD3" w14:textId="77777777" w:rsidR="00765CE7" w:rsidRDefault="00765CE7"/>
    <w:p w14:paraId="3668EE46" w14:textId="77777777" w:rsidR="00765CE7" w:rsidRDefault="00765CE7"/>
    <w:p w14:paraId="2AF76AF5" w14:textId="77777777" w:rsidR="0029205A" w:rsidRDefault="0029205A">
      <w:pPr>
        <w:spacing w:after="0" w:line="251" w:lineRule="auto"/>
        <w:ind w:right="0"/>
        <w:jc w:val="center"/>
        <w:rPr>
          <w:b/>
          <w:sz w:val="40"/>
          <w:szCs w:val="40"/>
        </w:rPr>
      </w:pPr>
      <w:r>
        <w:rPr>
          <w:b/>
          <w:sz w:val="40"/>
          <w:szCs w:val="40"/>
        </w:rPr>
        <w:t xml:space="preserve">PLATFORMA </w:t>
      </w:r>
      <w:r w:rsidR="00B80ACE">
        <w:rPr>
          <w:b/>
          <w:sz w:val="40"/>
          <w:szCs w:val="40"/>
        </w:rPr>
        <w:t xml:space="preserve">ZAPOŠLJAVANJA </w:t>
      </w:r>
    </w:p>
    <w:p w14:paraId="7289C22D" w14:textId="70CF06B4" w:rsidR="00765CE7" w:rsidRDefault="00B80ACE">
      <w:pPr>
        <w:spacing w:after="0" w:line="251" w:lineRule="auto"/>
        <w:ind w:right="0"/>
        <w:jc w:val="center"/>
        <w:rPr>
          <w:sz w:val="40"/>
          <w:szCs w:val="40"/>
        </w:rPr>
      </w:pPr>
      <w:r>
        <w:rPr>
          <w:b/>
          <w:sz w:val="40"/>
          <w:szCs w:val="40"/>
        </w:rPr>
        <w:t>STRANACA U BOSNI I HERCEGOVINI</w:t>
      </w:r>
    </w:p>
    <w:p w14:paraId="29EB34E1" w14:textId="77777777" w:rsidR="00765CE7" w:rsidRDefault="00765CE7"/>
    <w:p w14:paraId="3F587162" w14:textId="77777777" w:rsidR="00765CE7" w:rsidRDefault="00765CE7"/>
    <w:p w14:paraId="3F0287AE" w14:textId="77777777" w:rsidR="00765CE7" w:rsidRDefault="00765CE7"/>
    <w:p w14:paraId="5F1BF833" w14:textId="77777777" w:rsidR="00765CE7" w:rsidRDefault="00765CE7"/>
    <w:p w14:paraId="4F0D9C23" w14:textId="77777777" w:rsidR="00765CE7" w:rsidRDefault="00765CE7"/>
    <w:p w14:paraId="582BBBDC" w14:textId="77777777" w:rsidR="00765CE7" w:rsidRDefault="00765CE7"/>
    <w:p w14:paraId="20D2DC43" w14:textId="77777777" w:rsidR="00765CE7" w:rsidRDefault="00765CE7"/>
    <w:p w14:paraId="5458BB0C" w14:textId="77777777" w:rsidR="00765CE7" w:rsidRDefault="00765CE7"/>
    <w:p w14:paraId="6B0CAADA" w14:textId="77777777" w:rsidR="00765CE7" w:rsidRDefault="00765CE7"/>
    <w:p w14:paraId="600351D3" w14:textId="77777777" w:rsidR="00765CE7" w:rsidRDefault="00765CE7"/>
    <w:p w14:paraId="7A66E364" w14:textId="77777777" w:rsidR="00765CE7" w:rsidRDefault="00765CE7"/>
    <w:p w14:paraId="582E6811" w14:textId="77777777" w:rsidR="00765CE7" w:rsidRDefault="00765CE7"/>
    <w:p w14:paraId="075B2E05" w14:textId="77777777" w:rsidR="00765CE7" w:rsidRDefault="00765CE7"/>
    <w:p w14:paraId="50012120" w14:textId="77777777" w:rsidR="00765CE7" w:rsidRDefault="00765CE7"/>
    <w:p w14:paraId="5660A203" w14:textId="77777777" w:rsidR="00765CE7" w:rsidRDefault="00765CE7"/>
    <w:p w14:paraId="543441AD" w14:textId="77777777" w:rsidR="00765CE7" w:rsidRDefault="00765CE7"/>
    <w:p w14:paraId="73C87BF6" w14:textId="77777777" w:rsidR="00765CE7" w:rsidRDefault="00765CE7"/>
    <w:p w14:paraId="6D487EB5" w14:textId="77777777" w:rsidR="00765CE7" w:rsidRDefault="00765CE7"/>
    <w:p w14:paraId="1131C6CA" w14:textId="77777777" w:rsidR="00765CE7" w:rsidRDefault="00765CE7"/>
    <w:p w14:paraId="3DA3EF8D" w14:textId="77777777" w:rsidR="00765CE7" w:rsidRDefault="00765CE7"/>
    <w:p w14:paraId="5529C897" w14:textId="77777777" w:rsidR="00765CE7" w:rsidRDefault="00765CE7"/>
    <w:p w14:paraId="3F0136ED" w14:textId="0D67F4ED" w:rsidR="00765CE7" w:rsidRPr="00A4053F" w:rsidRDefault="00B80ACE">
      <w:pPr>
        <w:spacing w:after="0"/>
        <w:ind w:right="5"/>
        <w:jc w:val="center"/>
        <w:rPr>
          <w:b/>
          <w:sz w:val="32"/>
          <w:szCs w:val="32"/>
        </w:rPr>
      </w:pPr>
      <w:r w:rsidRPr="00A4053F">
        <w:rPr>
          <w:b/>
          <w:sz w:val="32"/>
          <w:szCs w:val="32"/>
        </w:rPr>
        <w:t>20</w:t>
      </w:r>
      <w:r w:rsidR="00F05648" w:rsidRPr="00A4053F">
        <w:rPr>
          <w:b/>
          <w:sz w:val="32"/>
          <w:szCs w:val="32"/>
        </w:rPr>
        <w:t>20</w:t>
      </w:r>
      <w:r w:rsidRPr="00A4053F">
        <w:rPr>
          <w:b/>
          <w:sz w:val="32"/>
          <w:szCs w:val="32"/>
        </w:rPr>
        <w:t>. godina</w:t>
      </w:r>
    </w:p>
    <w:p w14:paraId="2CA4F56B" w14:textId="77777777" w:rsidR="00765CE7" w:rsidRDefault="00765CE7"/>
    <w:sdt>
      <w:sdtPr>
        <w:rPr>
          <w:rFonts w:ascii="Times New Roman" w:eastAsia="Times New Roman" w:hAnsi="Times New Roman" w:cs="Times New Roman"/>
          <w:noProof/>
          <w:color w:val="000000"/>
          <w:sz w:val="24"/>
          <w:szCs w:val="22"/>
          <w:lang w:val="bs-Latn-BA" w:eastAsia="bs-Latn-BA"/>
        </w:rPr>
        <w:id w:val="-1963720222"/>
        <w:docPartObj>
          <w:docPartGallery w:val="Table of Contents"/>
          <w:docPartUnique/>
        </w:docPartObj>
      </w:sdtPr>
      <w:sdtEndPr>
        <w:rPr>
          <w:b/>
          <w:bCs/>
        </w:rPr>
      </w:sdtEndPr>
      <w:sdtContent>
        <w:p w14:paraId="4F67E31C" w14:textId="77777777" w:rsidR="00765CE7" w:rsidRDefault="00B80ACE">
          <w:pPr>
            <w:pStyle w:val="TOCHeading1"/>
            <w:rPr>
              <w:rFonts w:ascii="Times New Roman" w:hAnsi="Times New Roman" w:cs="Times New Roman"/>
              <w:b/>
              <w:color w:val="auto"/>
            </w:rPr>
          </w:pPr>
          <w:r>
            <w:rPr>
              <w:rFonts w:ascii="Times New Roman" w:hAnsi="Times New Roman" w:cs="Times New Roman"/>
              <w:b/>
              <w:color w:val="auto"/>
            </w:rPr>
            <w:t>SADRŽAJ:</w:t>
          </w:r>
        </w:p>
        <w:p w14:paraId="5F808FD2" w14:textId="77777777" w:rsidR="00765CE7" w:rsidRDefault="00765CE7">
          <w:pPr>
            <w:rPr>
              <w:lang w:val="en-US" w:eastAsia="en-US"/>
            </w:rPr>
          </w:pPr>
        </w:p>
        <w:p w14:paraId="43CA9852" w14:textId="6D7EA59C" w:rsidR="00BD203B" w:rsidRPr="00946D5C" w:rsidRDefault="00B80ACE">
          <w:pPr>
            <w:pStyle w:val="TOC1"/>
            <w:tabs>
              <w:tab w:val="left" w:pos="480"/>
              <w:tab w:val="right" w:leader="dot" w:pos="9062"/>
            </w:tabs>
            <w:rPr>
              <w:rFonts w:asciiTheme="minorHAnsi" w:eastAsiaTheme="minorEastAsia" w:hAnsiTheme="minorHAnsi" w:cstheme="minorBidi"/>
              <w:color w:val="auto"/>
              <w:sz w:val="22"/>
            </w:rPr>
          </w:pPr>
          <w:r>
            <w:rPr>
              <w:b/>
              <w:bCs/>
            </w:rPr>
            <w:fldChar w:fldCharType="begin"/>
          </w:r>
          <w:r>
            <w:rPr>
              <w:b/>
              <w:bCs/>
            </w:rPr>
            <w:instrText xml:space="preserve"> TOC \o "1-3" \h \z \u </w:instrText>
          </w:r>
          <w:r>
            <w:rPr>
              <w:b/>
              <w:bCs/>
            </w:rPr>
            <w:fldChar w:fldCharType="separate"/>
          </w:r>
          <w:hyperlink w:anchor="_Toc28010128" w:history="1">
            <w:r w:rsidR="00BD203B" w:rsidRPr="00946D5C">
              <w:rPr>
                <w:rStyle w:val="Hyperlink"/>
              </w:rPr>
              <w:t>1.</w:t>
            </w:r>
            <w:r w:rsidR="00BD203B" w:rsidRPr="00946D5C">
              <w:rPr>
                <w:rFonts w:asciiTheme="minorHAnsi" w:eastAsiaTheme="minorEastAsia" w:hAnsiTheme="minorHAnsi" w:cstheme="minorBidi"/>
                <w:color w:val="auto"/>
                <w:sz w:val="22"/>
              </w:rPr>
              <w:tab/>
            </w:r>
            <w:r w:rsidR="00BD203B" w:rsidRPr="00946D5C">
              <w:rPr>
                <w:rStyle w:val="Hyperlink"/>
              </w:rPr>
              <w:t>UVOD</w:t>
            </w:r>
            <w:r w:rsidR="00BD203B" w:rsidRPr="00946D5C">
              <w:rPr>
                <w:webHidden/>
              </w:rPr>
              <w:tab/>
            </w:r>
            <w:r w:rsidR="00BD203B" w:rsidRPr="00946D5C">
              <w:rPr>
                <w:webHidden/>
              </w:rPr>
              <w:fldChar w:fldCharType="begin"/>
            </w:r>
            <w:r w:rsidR="00BD203B" w:rsidRPr="00946D5C">
              <w:rPr>
                <w:webHidden/>
              </w:rPr>
              <w:instrText xml:space="preserve"> PAGEREF _Toc28010128 \h </w:instrText>
            </w:r>
            <w:r w:rsidR="00BD203B" w:rsidRPr="00946D5C">
              <w:rPr>
                <w:webHidden/>
              </w:rPr>
            </w:r>
            <w:r w:rsidR="00BD203B" w:rsidRPr="00946D5C">
              <w:rPr>
                <w:webHidden/>
              </w:rPr>
              <w:fldChar w:fldCharType="separate"/>
            </w:r>
            <w:r w:rsidR="005E2696">
              <w:rPr>
                <w:webHidden/>
              </w:rPr>
              <w:t>3</w:t>
            </w:r>
            <w:r w:rsidR="00BD203B" w:rsidRPr="00946D5C">
              <w:rPr>
                <w:webHidden/>
              </w:rPr>
              <w:fldChar w:fldCharType="end"/>
            </w:r>
          </w:hyperlink>
        </w:p>
        <w:p w14:paraId="4E42564F" w14:textId="3C3EC9A7" w:rsidR="00BD203B" w:rsidRPr="00946D5C" w:rsidRDefault="00BB7FA6">
          <w:pPr>
            <w:pStyle w:val="TOC1"/>
            <w:tabs>
              <w:tab w:val="left" w:pos="480"/>
              <w:tab w:val="right" w:leader="dot" w:pos="9062"/>
            </w:tabs>
            <w:rPr>
              <w:rFonts w:asciiTheme="minorHAnsi" w:eastAsiaTheme="minorEastAsia" w:hAnsiTheme="minorHAnsi" w:cstheme="minorBidi"/>
              <w:color w:val="auto"/>
              <w:sz w:val="22"/>
            </w:rPr>
          </w:pPr>
          <w:hyperlink w:anchor="_Toc28010129" w:history="1">
            <w:r w:rsidR="00BD203B" w:rsidRPr="00946D5C">
              <w:rPr>
                <w:rStyle w:val="Hyperlink"/>
              </w:rPr>
              <w:t>2.</w:t>
            </w:r>
            <w:r w:rsidR="00BD203B" w:rsidRPr="00946D5C">
              <w:rPr>
                <w:rFonts w:asciiTheme="minorHAnsi" w:eastAsiaTheme="minorEastAsia" w:hAnsiTheme="minorHAnsi" w:cstheme="minorBidi"/>
                <w:color w:val="auto"/>
                <w:sz w:val="22"/>
              </w:rPr>
              <w:tab/>
            </w:r>
            <w:r w:rsidR="00BD203B" w:rsidRPr="00946D5C">
              <w:rPr>
                <w:rStyle w:val="Hyperlink"/>
              </w:rPr>
              <w:t>PRAVNI OSNOV</w:t>
            </w:r>
            <w:r w:rsidR="00BD203B" w:rsidRPr="00946D5C">
              <w:rPr>
                <w:webHidden/>
              </w:rPr>
              <w:tab/>
            </w:r>
            <w:r w:rsidR="00BD203B" w:rsidRPr="00946D5C">
              <w:rPr>
                <w:webHidden/>
              </w:rPr>
              <w:fldChar w:fldCharType="begin"/>
            </w:r>
            <w:r w:rsidR="00BD203B" w:rsidRPr="00946D5C">
              <w:rPr>
                <w:webHidden/>
              </w:rPr>
              <w:instrText xml:space="preserve"> PAGEREF _Toc28010129 \h </w:instrText>
            </w:r>
            <w:r w:rsidR="00BD203B" w:rsidRPr="00946D5C">
              <w:rPr>
                <w:webHidden/>
              </w:rPr>
            </w:r>
            <w:r w:rsidR="00BD203B" w:rsidRPr="00946D5C">
              <w:rPr>
                <w:webHidden/>
              </w:rPr>
              <w:fldChar w:fldCharType="separate"/>
            </w:r>
            <w:r w:rsidR="005E2696">
              <w:rPr>
                <w:webHidden/>
              </w:rPr>
              <w:t>3</w:t>
            </w:r>
            <w:r w:rsidR="00BD203B" w:rsidRPr="00946D5C">
              <w:rPr>
                <w:webHidden/>
              </w:rPr>
              <w:fldChar w:fldCharType="end"/>
            </w:r>
          </w:hyperlink>
        </w:p>
        <w:p w14:paraId="61F5EA57" w14:textId="4B729E1B" w:rsidR="00BD203B" w:rsidRPr="00946D5C" w:rsidRDefault="00BB7FA6">
          <w:pPr>
            <w:pStyle w:val="TOC1"/>
            <w:tabs>
              <w:tab w:val="left" w:pos="480"/>
              <w:tab w:val="right" w:leader="dot" w:pos="9062"/>
            </w:tabs>
            <w:rPr>
              <w:rFonts w:asciiTheme="minorHAnsi" w:eastAsiaTheme="minorEastAsia" w:hAnsiTheme="minorHAnsi" w:cstheme="minorBidi"/>
              <w:color w:val="auto"/>
              <w:sz w:val="22"/>
            </w:rPr>
          </w:pPr>
          <w:hyperlink w:anchor="_Toc28010130" w:history="1">
            <w:r w:rsidR="00BD203B" w:rsidRPr="00946D5C">
              <w:rPr>
                <w:rStyle w:val="Hyperlink"/>
              </w:rPr>
              <w:t>3.</w:t>
            </w:r>
            <w:r w:rsidR="00BD203B" w:rsidRPr="00946D5C">
              <w:rPr>
                <w:rFonts w:asciiTheme="minorHAnsi" w:eastAsiaTheme="minorEastAsia" w:hAnsiTheme="minorHAnsi" w:cstheme="minorBidi"/>
                <w:color w:val="auto"/>
                <w:sz w:val="22"/>
              </w:rPr>
              <w:tab/>
            </w:r>
            <w:r w:rsidR="00BD203B" w:rsidRPr="00946D5C">
              <w:rPr>
                <w:rStyle w:val="Hyperlink"/>
              </w:rPr>
              <w:t>INSTITUCIONALNI OKVIR</w:t>
            </w:r>
            <w:r w:rsidR="00BD203B" w:rsidRPr="00946D5C">
              <w:rPr>
                <w:webHidden/>
              </w:rPr>
              <w:tab/>
            </w:r>
          </w:hyperlink>
          <w:r w:rsidR="00A10A28">
            <w:t>9</w:t>
          </w:r>
        </w:p>
        <w:p w14:paraId="322BFD0C" w14:textId="36495899" w:rsidR="00BD203B" w:rsidRPr="00946D5C" w:rsidRDefault="00BB7FA6">
          <w:pPr>
            <w:pStyle w:val="TOC1"/>
            <w:tabs>
              <w:tab w:val="left" w:pos="480"/>
              <w:tab w:val="right" w:leader="dot" w:pos="9062"/>
            </w:tabs>
            <w:rPr>
              <w:rFonts w:asciiTheme="minorHAnsi" w:eastAsiaTheme="minorEastAsia" w:hAnsiTheme="minorHAnsi" w:cstheme="minorBidi"/>
              <w:color w:val="auto"/>
              <w:sz w:val="22"/>
            </w:rPr>
          </w:pPr>
          <w:hyperlink w:anchor="_Toc28010131" w:history="1">
            <w:r w:rsidR="00BD203B" w:rsidRPr="00946D5C">
              <w:rPr>
                <w:rStyle w:val="Hyperlink"/>
              </w:rPr>
              <w:t>4.</w:t>
            </w:r>
            <w:r w:rsidR="00BD203B" w:rsidRPr="00946D5C">
              <w:rPr>
                <w:rFonts w:asciiTheme="minorHAnsi" w:eastAsiaTheme="minorEastAsia" w:hAnsiTheme="minorHAnsi" w:cstheme="minorBidi"/>
                <w:color w:val="auto"/>
                <w:sz w:val="22"/>
              </w:rPr>
              <w:tab/>
            </w:r>
            <w:r w:rsidR="00BD203B" w:rsidRPr="00946D5C">
              <w:rPr>
                <w:rStyle w:val="Hyperlink"/>
              </w:rPr>
              <w:t>ANALIZA POSTOJEĆEG STANJA</w:t>
            </w:r>
            <w:r w:rsidR="00BD203B" w:rsidRPr="00946D5C">
              <w:rPr>
                <w:webHidden/>
              </w:rPr>
              <w:tab/>
            </w:r>
            <w:r w:rsidR="00BD203B" w:rsidRPr="00946D5C">
              <w:rPr>
                <w:webHidden/>
              </w:rPr>
              <w:fldChar w:fldCharType="begin"/>
            </w:r>
            <w:r w:rsidR="00BD203B" w:rsidRPr="00946D5C">
              <w:rPr>
                <w:webHidden/>
              </w:rPr>
              <w:instrText xml:space="preserve"> PAGEREF _Toc28010131 \h </w:instrText>
            </w:r>
            <w:r w:rsidR="00BD203B" w:rsidRPr="00946D5C">
              <w:rPr>
                <w:webHidden/>
              </w:rPr>
            </w:r>
            <w:r w:rsidR="00BD203B" w:rsidRPr="00946D5C">
              <w:rPr>
                <w:webHidden/>
              </w:rPr>
              <w:fldChar w:fldCharType="separate"/>
            </w:r>
            <w:r w:rsidR="005E2696">
              <w:rPr>
                <w:webHidden/>
              </w:rPr>
              <w:t>11</w:t>
            </w:r>
            <w:r w:rsidR="00BD203B" w:rsidRPr="00946D5C">
              <w:rPr>
                <w:webHidden/>
              </w:rPr>
              <w:fldChar w:fldCharType="end"/>
            </w:r>
          </w:hyperlink>
        </w:p>
        <w:p w14:paraId="5C978F59" w14:textId="31D01F74" w:rsidR="00BD203B" w:rsidRPr="00946D5C" w:rsidRDefault="00BB7FA6">
          <w:pPr>
            <w:pStyle w:val="TOC2"/>
            <w:tabs>
              <w:tab w:val="left" w:pos="880"/>
              <w:tab w:val="right" w:leader="dot" w:pos="9062"/>
            </w:tabs>
            <w:rPr>
              <w:rFonts w:asciiTheme="minorHAnsi" w:eastAsiaTheme="minorEastAsia" w:hAnsiTheme="minorHAnsi" w:cstheme="minorBidi"/>
              <w:color w:val="auto"/>
              <w:sz w:val="22"/>
            </w:rPr>
          </w:pPr>
          <w:hyperlink w:anchor="_Toc28010132" w:history="1">
            <w:r w:rsidR="00BD203B" w:rsidRPr="00946D5C">
              <w:rPr>
                <w:rStyle w:val="Hyperlink"/>
              </w:rPr>
              <w:t>4.1.</w:t>
            </w:r>
            <w:r w:rsidR="00BD203B" w:rsidRPr="00946D5C">
              <w:rPr>
                <w:rFonts w:asciiTheme="minorHAnsi" w:eastAsiaTheme="minorEastAsia" w:hAnsiTheme="minorHAnsi" w:cstheme="minorBidi"/>
                <w:color w:val="auto"/>
                <w:sz w:val="22"/>
              </w:rPr>
              <w:tab/>
            </w:r>
            <w:r w:rsidR="00BD203B" w:rsidRPr="00946D5C">
              <w:rPr>
                <w:rStyle w:val="Hyperlink"/>
              </w:rPr>
              <w:t>Podaci</w:t>
            </w:r>
            <w:r w:rsidR="00E74E4F">
              <w:rPr>
                <w:rStyle w:val="Hyperlink"/>
              </w:rPr>
              <w:t xml:space="preserve"> </w:t>
            </w:r>
            <w:r w:rsidR="00BD203B" w:rsidRPr="00946D5C">
              <w:rPr>
                <w:rStyle w:val="Hyperlink"/>
              </w:rPr>
              <w:t>o odobrenim/produženim privremenim boravcima po osnovu rada i izdatim potvrdama o prijavi rada</w:t>
            </w:r>
            <w:r w:rsidR="00BD203B" w:rsidRPr="00946D5C">
              <w:rPr>
                <w:webHidden/>
              </w:rPr>
              <w:tab/>
            </w:r>
            <w:r w:rsidR="00BD203B" w:rsidRPr="00946D5C">
              <w:rPr>
                <w:webHidden/>
              </w:rPr>
              <w:fldChar w:fldCharType="begin"/>
            </w:r>
            <w:r w:rsidR="00BD203B" w:rsidRPr="00946D5C">
              <w:rPr>
                <w:webHidden/>
              </w:rPr>
              <w:instrText xml:space="preserve"> PAGEREF _Toc28010132 \h </w:instrText>
            </w:r>
            <w:r w:rsidR="00BD203B" w:rsidRPr="00946D5C">
              <w:rPr>
                <w:webHidden/>
              </w:rPr>
            </w:r>
            <w:r w:rsidR="00BD203B" w:rsidRPr="00946D5C">
              <w:rPr>
                <w:webHidden/>
              </w:rPr>
              <w:fldChar w:fldCharType="separate"/>
            </w:r>
            <w:r w:rsidR="005E2696">
              <w:rPr>
                <w:webHidden/>
              </w:rPr>
              <w:t>11</w:t>
            </w:r>
            <w:r w:rsidR="00BD203B" w:rsidRPr="00946D5C">
              <w:rPr>
                <w:webHidden/>
              </w:rPr>
              <w:fldChar w:fldCharType="end"/>
            </w:r>
          </w:hyperlink>
        </w:p>
        <w:p w14:paraId="3D6328F1" w14:textId="557A9D85" w:rsidR="00BD203B" w:rsidRPr="00946D5C" w:rsidRDefault="00BB7FA6">
          <w:pPr>
            <w:pStyle w:val="TOC3"/>
            <w:tabs>
              <w:tab w:val="left" w:pos="1320"/>
              <w:tab w:val="right" w:leader="dot" w:pos="9062"/>
            </w:tabs>
            <w:rPr>
              <w:rFonts w:asciiTheme="minorHAnsi" w:eastAsiaTheme="minorEastAsia" w:hAnsiTheme="minorHAnsi" w:cstheme="minorBidi"/>
              <w:color w:val="auto"/>
              <w:sz w:val="22"/>
            </w:rPr>
          </w:pPr>
          <w:hyperlink w:anchor="_Toc28010133" w:history="1">
            <w:r w:rsidR="00BD203B" w:rsidRPr="00946D5C">
              <w:rPr>
                <w:rStyle w:val="Hyperlink"/>
                <w:rFonts w:eastAsia="Arial Unicode MS"/>
                <w:i/>
              </w:rPr>
              <w:t>4.1.1.</w:t>
            </w:r>
            <w:r w:rsidR="00BD203B" w:rsidRPr="00946D5C">
              <w:rPr>
                <w:rFonts w:asciiTheme="minorHAnsi" w:eastAsiaTheme="minorEastAsia" w:hAnsiTheme="minorHAnsi" w:cstheme="minorBidi"/>
                <w:color w:val="auto"/>
                <w:sz w:val="22"/>
              </w:rPr>
              <w:tab/>
            </w:r>
            <w:r w:rsidR="00BD203B" w:rsidRPr="00946D5C">
              <w:rPr>
                <w:rStyle w:val="Hyperlink"/>
                <w:rFonts w:eastAsia="Arial Unicode MS"/>
                <w:i/>
              </w:rPr>
              <w:t>Izdate potvrde o prijavi rada</w:t>
            </w:r>
            <w:r w:rsidR="00BD203B" w:rsidRPr="00946D5C">
              <w:rPr>
                <w:webHidden/>
              </w:rPr>
              <w:tab/>
            </w:r>
            <w:r w:rsidR="00BD203B" w:rsidRPr="00946D5C">
              <w:rPr>
                <w:webHidden/>
              </w:rPr>
              <w:fldChar w:fldCharType="begin"/>
            </w:r>
            <w:r w:rsidR="00BD203B" w:rsidRPr="00946D5C">
              <w:rPr>
                <w:webHidden/>
              </w:rPr>
              <w:instrText xml:space="preserve"> PAGEREF _Toc28010133 \h </w:instrText>
            </w:r>
            <w:r w:rsidR="00BD203B" w:rsidRPr="00946D5C">
              <w:rPr>
                <w:webHidden/>
              </w:rPr>
            </w:r>
            <w:r w:rsidR="00BD203B" w:rsidRPr="00946D5C">
              <w:rPr>
                <w:webHidden/>
              </w:rPr>
              <w:fldChar w:fldCharType="separate"/>
            </w:r>
            <w:r w:rsidR="005E2696">
              <w:rPr>
                <w:webHidden/>
              </w:rPr>
              <w:t>12</w:t>
            </w:r>
            <w:r w:rsidR="00BD203B" w:rsidRPr="00946D5C">
              <w:rPr>
                <w:webHidden/>
              </w:rPr>
              <w:fldChar w:fldCharType="end"/>
            </w:r>
          </w:hyperlink>
        </w:p>
        <w:p w14:paraId="202676B3" w14:textId="1AEAD0EB" w:rsidR="00BD203B" w:rsidRPr="00946D5C" w:rsidRDefault="00BB7FA6">
          <w:pPr>
            <w:pStyle w:val="TOC2"/>
            <w:tabs>
              <w:tab w:val="left" w:pos="880"/>
              <w:tab w:val="right" w:leader="dot" w:pos="9062"/>
            </w:tabs>
            <w:rPr>
              <w:rFonts w:asciiTheme="minorHAnsi" w:eastAsiaTheme="minorEastAsia" w:hAnsiTheme="minorHAnsi" w:cstheme="minorBidi"/>
              <w:color w:val="auto"/>
              <w:sz w:val="22"/>
            </w:rPr>
          </w:pPr>
          <w:hyperlink w:anchor="_Toc28010134" w:history="1">
            <w:r w:rsidR="00BD203B" w:rsidRPr="00946D5C">
              <w:rPr>
                <w:rStyle w:val="Hyperlink"/>
                <w:rFonts w:eastAsia="SimSun"/>
              </w:rPr>
              <w:t>4.2.</w:t>
            </w:r>
            <w:r w:rsidR="00BD203B" w:rsidRPr="00946D5C">
              <w:rPr>
                <w:rFonts w:asciiTheme="minorHAnsi" w:eastAsiaTheme="minorEastAsia" w:hAnsiTheme="minorHAnsi" w:cstheme="minorBidi"/>
                <w:color w:val="auto"/>
                <w:sz w:val="22"/>
              </w:rPr>
              <w:tab/>
            </w:r>
            <w:r w:rsidR="00BD203B" w:rsidRPr="00946D5C">
              <w:rPr>
                <w:rStyle w:val="Hyperlink"/>
                <w:rFonts w:eastAsia="SimSun"/>
              </w:rPr>
              <w:t xml:space="preserve">Pregled izdatih radnih dozvola </w:t>
            </w:r>
            <w:r w:rsidR="005D6B68">
              <w:rPr>
                <w:rStyle w:val="Hyperlink"/>
                <w:rFonts w:eastAsia="SimSun"/>
              </w:rPr>
              <w:t xml:space="preserve">strancima </w:t>
            </w:r>
            <w:r w:rsidR="00BD203B" w:rsidRPr="00946D5C">
              <w:rPr>
                <w:rStyle w:val="Hyperlink"/>
                <w:rFonts w:eastAsia="SimSun"/>
              </w:rPr>
              <w:t>u BiH u 2018. godini</w:t>
            </w:r>
            <w:r w:rsidR="00BD203B" w:rsidRPr="00946D5C">
              <w:rPr>
                <w:webHidden/>
              </w:rPr>
              <w:tab/>
            </w:r>
            <w:r w:rsidR="00BD203B" w:rsidRPr="00946D5C">
              <w:rPr>
                <w:webHidden/>
              </w:rPr>
              <w:fldChar w:fldCharType="begin"/>
            </w:r>
            <w:r w:rsidR="00BD203B" w:rsidRPr="00946D5C">
              <w:rPr>
                <w:webHidden/>
              </w:rPr>
              <w:instrText xml:space="preserve"> PAGEREF _Toc28010134 \h </w:instrText>
            </w:r>
            <w:r w:rsidR="00BD203B" w:rsidRPr="00946D5C">
              <w:rPr>
                <w:webHidden/>
              </w:rPr>
            </w:r>
            <w:r w:rsidR="00BD203B" w:rsidRPr="00946D5C">
              <w:rPr>
                <w:webHidden/>
              </w:rPr>
              <w:fldChar w:fldCharType="separate"/>
            </w:r>
            <w:r w:rsidR="005E2696">
              <w:rPr>
                <w:webHidden/>
              </w:rPr>
              <w:t>13</w:t>
            </w:r>
            <w:r w:rsidR="00BD203B" w:rsidRPr="00946D5C">
              <w:rPr>
                <w:webHidden/>
              </w:rPr>
              <w:fldChar w:fldCharType="end"/>
            </w:r>
          </w:hyperlink>
        </w:p>
        <w:p w14:paraId="7EA48000" w14:textId="0FE5F232" w:rsidR="00BD203B" w:rsidRPr="00946D5C" w:rsidRDefault="00BB7FA6">
          <w:pPr>
            <w:pStyle w:val="TOC3"/>
            <w:tabs>
              <w:tab w:val="left" w:pos="1320"/>
              <w:tab w:val="right" w:leader="dot" w:pos="9062"/>
            </w:tabs>
            <w:rPr>
              <w:rFonts w:asciiTheme="minorHAnsi" w:eastAsiaTheme="minorEastAsia" w:hAnsiTheme="minorHAnsi" w:cstheme="minorBidi"/>
              <w:color w:val="auto"/>
              <w:sz w:val="22"/>
            </w:rPr>
          </w:pPr>
          <w:hyperlink w:anchor="_Toc28010135" w:history="1">
            <w:r w:rsidR="00BD203B" w:rsidRPr="00946D5C">
              <w:rPr>
                <w:rStyle w:val="Hyperlink"/>
                <w:i/>
              </w:rPr>
              <w:t>4.2.1.</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državama porijekla</w:t>
            </w:r>
            <w:r w:rsidR="00BD203B" w:rsidRPr="00946D5C">
              <w:rPr>
                <w:webHidden/>
              </w:rPr>
              <w:tab/>
            </w:r>
          </w:hyperlink>
          <w:r w:rsidR="00A10A28">
            <w:t>1</w:t>
          </w:r>
          <w:r w:rsidR="005E2696">
            <w:t>3</w:t>
          </w:r>
        </w:p>
        <w:p w14:paraId="07CF6B14" w14:textId="4ABF54A5" w:rsidR="00BD203B" w:rsidRPr="00946D5C" w:rsidRDefault="00BB7FA6">
          <w:pPr>
            <w:pStyle w:val="TOC3"/>
            <w:tabs>
              <w:tab w:val="left" w:pos="1320"/>
              <w:tab w:val="right" w:leader="dot" w:pos="9062"/>
            </w:tabs>
            <w:rPr>
              <w:rFonts w:asciiTheme="minorHAnsi" w:eastAsiaTheme="minorEastAsia" w:hAnsiTheme="minorHAnsi" w:cstheme="minorBidi"/>
              <w:color w:val="auto"/>
              <w:sz w:val="22"/>
            </w:rPr>
          </w:pPr>
          <w:hyperlink w:anchor="_Toc28010136" w:history="1">
            <w:r w:rsidR="00BD203B" w:rsidRPr="00946D5C">
              <w:rPr>
                <w:rStyle w:val="Hyperlink"/>
                <w:i/>
              </w:rPr>
              <w:t>4.2.2.</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kvalifikacionoj strukturi</w:t>
            </w:r>
            <w:r w:rsidR="00BD203B" w:rsidRPr="00946D5C">
              <w:rPr>
                <w:webHidden/>
              </w:rPr>
              <w:tab/>
            </w:r>
            <w:r w:rsidR="00BD203B" w:rsidRPr="00946D5C">
              <w:rPr>
                <w:webHidden/>
              </w:rPr>
              <w:fldChar w:fldCharType="begin"/>
            </w:r>
            <w:r w:rsidR="00BD203B" w:rsidRPr="00946D5C">
              <w:rPr>
                <w:webHidden/>
              </w:rPr>
              <w:instrText xml:space="preserve"> PAGEREF _Toc28010136 \h </w:instrText>
            </w:r>
            <w:r w:rsidR="00BD203B" w:rsidRPr="00946D5C">
              <w:rPr>
                <w:webHidden/>
              </w:rPr>
            </w:r>
            <w:r w:rsidR="00BD203B" w:rsidRPr="00946D5C">
              <w:rPr>
                <w:webHidden/>
              </w:rPr>
              <w:fldChar w:fldCharType="separate"/>
            </w:r>
            <w:r w:rsidR="005E2696">
              <w:rPr>
                <w:webHidden/>
              </w:rPr>
              <w:t>14</w:t>
            </w:r>
            <w:r w:rsidR="00BD203B" w:rsidRPr="00946D5C">
              <w:rPr>
                <w:webHidden/>
              </w:rPr>
              <w:fldChar w:fldCharType="end"/>
            </w:r>
          </w:hyperlink>
        </w:p>
        <w:p w14:paraId="3B4B811C" w14:textId="285ECB26" w:rsidR="00BD203B" w:rsidRPr="00946D5C" w:rsidRDefault="00BB7FA6">
          <w:pPr>
            <w:pStyle w:val="TOC3"/>
            <w:tabs>
              <w:tab w:val="right" w:leader="dot" w:pos="9062"/>
            </w:tabs>
            <w:rPr>
              <w:rFonts w:asciiTheme="minorHAnsi" w:eastAsiaTheme="minorEastAsia" w:hAnsiTheme="minorHAnsi" w:cstheme="minorBidi"/>
              <w:color w:val="auto"/>
              <w:sz w:val="22"/>
            </w:rPr>
          </w:pPr>
          <w:hyperlink w:anchor="_Toc28010137" w:history="1">
            <w:r w:rsidR="00BD203B" w:rsidRPr="00946D5C">
              <w:rPr>
                <w:rStyle w:val="Hyperlink"/>
                <w:i/>
              </w:rPr>
              <w:t xml:space="preserve">4.2.3. Izdate radne dozvole </w:t>
            </w:r>
            <w:r w:rsidR="005D6B68">
              <w:rPr>
                <w:rStyle w:val="Hyperlink"/>
                <w:i/>
              </w:rPr>
              <w:t xml:space="preserve">strancima </w:t>
            </w:r>
            <w:r w:rsidR="00BD203B" w:rsidRPr="00946D5C">
              <w:rPr>
                <w:rStyle w:val="Hyperlink"/>
                <w:i/>
              </w:rPr>
              <w:t>prema području djelatnosti zanimanja</w:t>
            </w:r>
            <w:r w:rsidR="00BD203B" w:rsidRPr="00946D5C">
              <w:rPr>
                <w:webHidden/>
              </w:rPr>
              <w:tab/>
            </w:r>
            <w:r w:rsidR="00BD203B" w:rsidRPr="00946D5C">
              <w:rPr>
                <w:webHidden/>
              </w:rPr>
              <w:fldChar w:fldCharType="begin"/>
            </w:r>
            <w:r w:rsidR="00BD203B" w:rsidRPr="00946D5C">
              <w:rPr>
                <w:webHidden/>
              </w:rPr>
              <w:instrText xml:space="preserve"> PAGEREF _Toc28010137 \h </w:instrText>
            </w:r>
            <w:r w:rsidR="00BD203B" w:rsidRPr="00946D5C">
              <w:rPr>
                <w:webHidden/>
              </w:rPr>
            </w:r>
            <w:r w:rsidR="00BD203B" w:rsidRPr="00946D5C">
              <w:rPr>
                <w:webHidden/>
              </w:rPr>
              <w:fldChar w:fldCharType="separate"/>
            </w:r>
            <w:r w:rsidR="005E2696">
              <w:rPr>
                <w:webHidden/>
              </w:rPr>
              <w:t>15</w:t>
            </w:r>
            <w:r w:rsidR="00BD203B" w:rsidRPr="00946D5C">
              <w:rPr>
                <w:webHidden/>
              </w:rPr>
              <w:fldChar w:fldCharType="end"/>
            </w:r>
          </w:hyperlink>
        </w:p>
        <w:p w14:paraId="5AA4D468" w14:textId="03891247" w:rsidR="00BD203B" w:rsidRPr="00946D5C" w:rsidRDefault="00BB7FA6">
          <w:pPr>
            <w:pStyle w:val="TOC3"/>
            <w:tabs>
              <w:tab w:val="left" w:pos="1320"/>
              <w:tab w:val="right" w:leader="dot" w:pos="9062"/>
            </w:tabs>
            <w:rPr>
              <w:rFonts w:asciiTheme="minorHAnsi" w:eastAsiaTheme="minorEastAsia" w:hAnsiTheme="minorHAnsi" w:cstheme="minorBidi"/>
              <w:color w:val="auto"/>
              <w:sz w:val="22"/>
            </w:rPr>
          </w:pPr>
          <w:hyperlink w:anchor="_Toc28010138" w:history="1">
            <w:r w:rsidR="00BD203B" w:rsidRPr="00946D5C">
              <w:rPr>
                <w:rStyle w:val="Hyperlink"/>
                <w:i/>
              </w:rPr>
              <w:t>4.2.4.</w:t>
            </w:r>
            <w:r w:rsidR="00BD203B" w:rsidRPr="00946D5C">
              <w:rPr>
                <w:rFonts w:asciiTheme="minorHAnsi" w:eastAsiaTheme="minorEastAsia" w:hAnsiTheme="minorHAnsi" w:cstheme="minorBidi"/>
                <w:color w:val="auto"/>
                <w:sz w:val="22"/>
              </w:rPr>
              <w:tab/>
            </w:r>
            <w:r w:rsidR="00BD203B" w:rsidRPr="00946D5C">
              <w:rPr>
                <w:rStyle w:val="Hyperlink"/>
                <w:i/>
              </w:rPr>
              <w:t xml:space="preserve">Izdate radne dozvole </w:t>
            </w:r>
            <w:r w:rsidR="005D6B68">
              <w:rPr>
                <w:rStyle w:val="Hyperlink"/>
                <w:i/>
              </w:rPr>
              <w:t xml:space="preserve">strancima </w:t>
            </w:r>
            <w:r w:rsidR="00BD203B" w:rsidRPr="00946D5C">
              <w:rPr>
                <w:rStyle w:val="Hyperlink"/>
                <w:i/>
              </w:rPr>
              <w:t>prema kvotama</w:t>
            </w:r>
            <w:r w:rsidR="00BD203B" w:rsidRPr="00946D5C">
              <w:rPr>
                <w:webHidden/>
              </w:rPr>
              <w:tab/>
            </w:r>
            <w:r w:rsidR="00BD203B" w:rsidRPr="00946D5C">
              <w:rPr>
                <w:webHidden/>
              </w:rPr>
              <w:fldChar w:fldCharType="begin"/>
            </w:r>
            <w:r w:rsidR="00BD203B" w:rsidRPr="00946D5C">
              <w:rPr>
                <w:webHidden/>
              </w:rPr>
              <w:instrText xml:space="preserve"> PAGEREF _Toc28010138 \h </w:instrText>
            </w:r>
            <w:r w:rsidR="00BD203B" w:rsidRPr="00946D5C">
              <w:rPr>
                <w:webHidden/>
              </w:rPr>
            </w:r>
            <w:r w:rsidR="00BD203B" w:rsidRPr="00946D5C">
              <w:rPr>
                <w:webHidden/>
              </w:rPr>
              <w:fldChar w:fldCharType="separate"/>
            </w:r>
            <w:r w:rsidR="005E2696">
              <w:rPr>
                <w:webHidden/>
              </w:rPr>
              <w:t>16</w:t>
            </w:r>
            <w:r w:rsidR="00BD203B" w:rsidRPr="00946D5C">
              <w:rPr>
                <w:webHidden/>
              </w:rPr>
              <w:fldChar w:fldCharType="end"/>
            </w:r>
          </w:hyperlink>
        </w:p>
        <w:p w14:paraId="00756D55" w14:textId="7C92165E" w:rsidR="00BD203B" w:rsidRDefault="00BB7FA6">
          <w:pPr>
            <w:pStyle w:val="TOC3"/>
            <w:tabs>
              <w:tab w:val="left" w:pos="1320"/>
              <w:tab w:val="right" w:leader="dot" w:pos="9062"/>
            </w:tabs>
            <w:rPr>
              <w:rFonts w:asciiTheme="minorHAnsi" w:eastAsiaTheme="minorEastAsia" w:hAnsiTheme="minorHAnsi" w:cstheme="minorBidi"/>
              <w:color w:val="auto"/>
              <w:sz w:val="22"/>
            </w:rPr>
          </w:pPr>
          <w:hyperlink w:anchor="_Toc28010139" w:history="1">
            <w:r w:rsidR="00BD203B" w:rsidRPr="00946D5C">
              <w:rPr>
                <w:rStyle w:val="Hyperlink"/>
                <w:i/>
              </w:rPr>
              <w:t>4.2.5.</w:t>
            </w:r>
            <w:r w:rsidR="00BD203B" w:rsidRPr="00946D5C">
              <w:rPr>
                <w:rFonts w:asciiTheme="minorHAnsi" w:eastAsiaTheme="minorEastAsia" w:hAnsiTheme="minorHAnsi" w:cstheme="minorBidi"/>
                <w:color w:val="auto"/>
                <w:sz w:val="22"/>
              </w:rPr>
              <w:tab/>
            </w:r>
            <w:r w:rsidR="00BD203B" w:rsidRPr="00946D5C">
              <w:rPr>
                <w:rStyle w:val="Hyperlink"/>
                <w:i/>
              </w:rPr>
              <w:t>Uticaj broja zaposlenih stranaca na tržište rada u Bosni i Hercegovini</w:t>
            </w:r>
            <w:r w:rsidR="00BD203B" w:rsidRPr="00946D5C">
              <w:rPr>
                <w:webHidden/>
              </w:rPr>
              <w:tab/>
            </w:r>
            <w:r w:rsidR="00BD203B" w:rsidRPr="00946D5C">
              <w:rPr>
                <w:webHidden/>
              </w:rPr>
              <w:fldChar w:fldCharType="begin"/>
            </w:r>
            <w:r w:rsidR="00BD203B" w:rsidRPr="00946D5C">
              <w:rPr>
                <w:webHidden/>
              </w:rPr>
              <w:instrText xml:space="preserve"> PAGEREF _Toc28010139 \h </w:instrText>
            </w:r>
            <w:r w:rsidR="00BD203B" w:rsidRPr="00946D5C">
              <w:rPr>
                <w:webHidden/>
              </w:rPr>
            </w:r>
            <w:r w:rsidR="00BD203B" w:rsidRPr="00946D5C">
              <w:rPr>
                <w:webHidden/>
              </w:rPr>
              <w:fldChar w:fldCharType="separate"/>
            </w:r>
            <w:r w:rsidR="005E2696">
              <w:rPr>
                <w:webHidden/>
              </w:rPr>
              <w:t>18</w:t>
            </w:r>
            <w:r w:rsidR="00BD203B" w:rsidRPr="00946D5C">
              <w:rPr>
                <w:webHidden/>
              </w:rPr>
              <w:fldChar w:fldCharType="end"/>
            </w:r>
          </w:hyperlink>
        </w:p>
        <w:p w14:paraId="33EFF74C" w14:textId="0C127347" w:rsidR="00BD203B" w:rsidRDefault="00BB7FA6">
          <w:pPr>
            <w:pStyle w:val="TOC1"/>
            <w:tabs>
              <w:tab w:val="left" w:pos="480"/>
              <w:tab w:val="right" w:leader="dot" w:pos="9062"/>
            </w:tabs>
            <w:rPr>
              <w:rFonts w:asciiTheme="minorHAnsi" w:eastAsiaTheme="minorEastAsia" w:hAnsiTheme="minorHAnsi" w:cstheme="minorBidi"/>
              <w:color w:val="auto"/>
              <w:sz w:val="22"/>
            </w:rPr>
          </w:pPr>
          <w:hyperlink w:anchor="_Toc28010140" w:history="1">
            <w:r w:rsidR="00BD203B" w:rsidRPr="00CF45B3">
              <w:rPr>
                <w:rStyle w:val="Hyperlink"/>
              </w:rPr>
              <w:t>5.</w:t>
            </w:r>
            <w:r w:rsidR="00BD203B">
              <w:rPr>
                <w:rFonts w:asciiTheme="minorHAnsi" w:eastAsiaTheme="minorEastAsia" w:hAnsiTheme="minorHAnsi" w:cstheme="minorBidi"/>
                <w:color w:val="auto"/>
                <w:sz w:val="22"/>
              </w:rPr>
              <w:tab/>
            </w:r>
            <w:r w:rsidR="00BD203B" w:rsidRPr="00CF45B3">
              <w:rPr>
                <w:rStyle w:val="Hyperlink"/>
              </w:rPr>
              <w:t>PREGLED ZAPAŽANJA</w:t>
            </w:r>
            <w:r w:rsidR="00BD203B">
              <w:rPr>
                <w:webHidden/>
              </w:rPr>
              <w:tab/>
            </w:r>
            <w:r w:rsidR="00BD203B">
              <w:rPr>
                <w:webHidden/>
              </w:rPr>
              <w:fldChar w:fldCharType="begin"/>
            </w:r>
            <w:r w:rsidR="00BD203B">
              <w:rPr>
                <w:webHidden/>
              </w:rPr>
              <w:instrText xml:space="preserve"> PAGEREF _Toc28010140 \h </w:instrText>
            </w:r>
            <w:r w:rsidR="00BD203B">
              <w:rPr>
                <w:webHidden/>
              </w:rPr>
            </w:r>
            <w:r w:rsidR="00BD203B">
              <w:rPr>
                <w:webHidden/>
              </w:rPr>
              <w:fldChar w:fldCharType="separate"/>
            </w:r>
            <w:r w:rsidR="005E2696">
              <w:rPr>
                <w:webHidden/>
              </w:rPr>
              <w:t>19</w:t>
            </w:r>
            <w:r w:rsidR="00BD203B">
              <w:rPr>
                <w:webHidden/>
              </w:rPr>
              <w:fldChar w:fldCharType="end"/>
            </w:r>
          </w:hyperlink>
        </w:p>
        <w:p w14:paraId="17EEF8E7" w14:textId="4E60BFF0" w:rsidR="00BD203B" w:rsidRDefault="00BB7FA6">
          <w:pPr>
            <w:pStyle w:val="TOC1"/>
            <w:tabs>
              <w:tab w:val="left" w:pos="480"/>
              <w:tab w:val="right" w:leader="dot" w:pos="9062"/>
            </w:tabs>
            <w:rPr>
              <w:rFonts w:asciiTheme="minorHAnsi" w:eastAsiaTheme="minorEastAsia" w:hAnsiTheme="minorHAnsi" w:cstheme="minorBidi"/>
              <w:color w:val="auto"/>
              <w:sz w:val="22"/>
            </w:rPr>
          </w:pPr>
          <w:hyperlink w:anchor="_Toc28010141" w:history="1">
            <w:r w:rsidR="00BD203B" w:rsidRPr="00CF45B3">
              <w:rPr>
                <w:rStyle w:val="Hyperlink"/>
              </w:rPr>
              <w:t>6.</w:t>
            </w:r>
            <w:r w:rsidR="00BD203B">
              <w:rPr>
                <w:rFonts w:asciiTheme="minorHAnsi" w:eastAsiaTheme="minorEastAsia" w:hAnsiTheme="minorHAnsi" w:cstheme="minorBidi"/>
                <w:color w:val="auto"/>
                <w:sz w:val="22"/>
              </w:rPr>
              <w:tab/>
            </w:r>
            <w:r w:rsidR="00BD203B" w:rsidRPr="00CF45B3">
              <w:rPr>
                <w:rStyle w:val="Hyperlink"/>
              </w:rPr>
              <w:t>ZAKLJUČCI I PREPORUKE</w:t>
            </w:r>
            <w:r w:rsidR="00BD203B">
              <w:rPr>
                <w:webHidden/>
              </w:rPr>
              <w:tab/>
            </w:r>
            <w:r w:rsidR="00BD203B">
              <w:rPr>
                <w:webHidden/>
              </w:rPr>
              <w:fldChar w:fldCharType="begin"/>
            </w:r>
            <w:r w:rsidR="00BD203B">
              <w:rPr>
                <w:webHidden/>
              </w:rPr>
              <w:instrText xml:space="preserve"> PAGEREF _Toc28010141 \h </w:instrText>
            </w:r>
            <w:r w:rsidR="00BD203B">
              <w:rPr>
                <w:webHidden/>
              </w:rPr>
            </w:r>
            <w:r w:rsidR="00BD203B">
              <w:rPr>
                <w:webHidden/>
              </w:rPr>
              <w:fldChar w:fldCharType="separate"/>
            </w:r>
            <w:r w:rsidR="005E2696">
              <w:rPr>
                <w:webHidden/>
              </w:rPr>
              <w:t>20</w:t>
            </w:r>
            <w:r w:rsidR="00BD203B">
              <w:rPr>
                <w:webHidden/>
              </w:rPr>
              <w:fldChar w:fldCharType="end"/>
            </w:r>
          </w:hyperlink>
        </w:p>
        <w:p w14:paraId="45CF702D" w14:textId="345E0FFB" w:rsidR="00BD203B" w:rsidRDefault="00BB7FA6">
          <w:pPr>
            <w:pStyle w:val="TOC2"/>
            <w:tabs>
              <w:tab w:val="right" w:leader="dot" w:pos="9062"/>
            </w:tabs>
            <w:rPr>
              <w:rFonts w:asciiTheme="minorHAnsi" w:eastAsiaTheme="minorEastAsia" w:hAnsiTheme="minorHAnsi" w:cstheme="minorBidi"/>
              <w:color w:val="auto"/>
              <w:sz w:val="22"/>
            </w:rPr>
          </w:pPr>
          <w:hyperlink w:anchor="_Toc28010142" w:history="1">
            <w:r w:rsidR="00BD203B" w:rsidRPr="00CF45B3">
              <w:rPr>
                <w:rStyle w:val="Hyperlink"/>
              </w:rPr>
              <w:t>6.1  Neophodno je usklađivanje zakonskih rješenja o zapošljavanju stranaca u BiH na svim nivoima sa rješenjima u zemljama EU.</w:t>
            </w:r>
            <w:r w:rsidR="00BD203B">
              <w:rPr>
                <w:webHidden/>
              </w:rPr>
              <w:tab/>
            </w:r>
            <w:r w:rsidR="00BD203B">
              <w:rPr>
                <w:webHidden/>
              </w:rPr>
              <w:fldChar w:fldCharType="begin"/>
            </w:r>
            <w:r w:rsidR="00BD203B">
              <w:rPr>
                <w:webHidden/>
              </w:rPr>
              <w:instrText xml:space="preserve"> PAGEREF _Toc28010142 \h </w:instrText>
            </w:r>
            <w:r w:rsidR="00BD203B">
              <w:rPr>
                <w:webHidden/>
              </w:rPr>
            </w:r>
            <w:r w:rsidR="00BD203B">
              <w:rPr>
                <w:webHidden/>
              </w:rPr>
              <w:fldChar w:fldCharType="separate"/>
            </w:r>
            <w:r w:rsidR="005E2696">
              <w:rPr>
                <w:webHidden/>
              </w:rPr>
              <w:t>21</w:t>
            </w:r>
            <w:r w:rsidR="00BD203B">
              <w:rPr>
                <w:webHidden/>
              </w:rPr>
              <w:fldChar w:fldCharType="end"/>
            </w:r>
          </w:hyperlink>
        </w:p>
        <w:p w14:paraId="420F3DA9" w14:textId="3913C433" w:rsidR="00BD203B" w:rsidRDefault="00BB7FA6">
          <w:pPr>
            <w:pStyle w:val="TOC2"/>
            <w:tabs>
              <w:tab w:val="right" w:leader="dot" w:pos="9062"/>
            </w:tabs>
            <w:rPr>
              <w:rFonts w:asciiTheme="minorHAnsi" w:eastAsiaTheme="minorEastAsia" w:hAnsiTheme="minorHAnsi" w:cstheme="minorBidi"/>
              <w:color w:val="auto"/>
              <w:sz w:val="22"/>
            </w:rPr>
          </w:pPr>
          <w:hyperlink w:anchor="_Toc28010143" w:history="1">
            <w:r w:rsidR="00BD203B" w:rsidRPr="00CF45B3">
              <w:rPr>
                <w:rStyle w:val="Hyperlink"/>
              </w:rPr>
              <w:t>6.2 Potrebno je sagledati mogućnost permanentnog zakonskog usklađivanja u pogledu izuzeća izdavanja radnih dozvola izvan kvote i izuzeća od posjedovanja radnih dozvola.</w:t>
            </w:r>
            <w:r w:rsidR="00BD203B">
              <w:rPr>
                <w:webHidden/>
              </w:rPr>
              <w:tab/>
            </w:r>
            <w:r w:rsidR="00BD203B">
              <w:rPr>
                <w:webHidden/>
              </w:rPr>
              <w:fldChar w:fldCharType="begin"/>
            </w:r>
            <w:r w:rsidR="00BD203B">
              <w:rPr>
                <w:webHidden/>
              </w:rPr>
              <w:instrText xml:space="preserve"> PAGEREF _Toc28010143 \h </w:instrText>
            </w:r>
            <w:r w:rsidR="00BD203B">
              <w:rPr>
                <w:webHidden/>
              </w:rPr>
            </w:r>
            <w:r w:rsidR="00BD203B">
              <w:rPr>
                <w:webHidden/>
              </w:rPr>
              <w:fldChar w:fldCharType="separate"/>
            </w:r>
            <w:r w:rsidR="005E2696">
              <w:rPr>
                <w:webHidden/>
              </w:rPr>
              <w:t>21</w:t>
            </w:r>
            <w:r w:rsidR="00BD203B">
              <w:rPr>
                <w:webHidden/>
              </w:rPr>
              <w:fldChar w:fldCharType="end"/>
            </w:r>
          </w:hyperlink>
        </w:p>
        <w:p w14:paraId="5DBD4D51" w14:textId="3C8EE46B" w:rsidR="00BD203B" w:rsidRDefault="00BB7FA6">
          <w:pPr>
            <w:pStyle w:val="TOC2"/>
            <w:tabs>
              <w:tab w:val="right" w:leader="dot" w:pos="9062"/>
            </w:tabs>
            <w:rPr>
              <w:rFonts w:asciiTheme="minorHAnsi" w:eastAsiaTheme="minorEastAsia" w:hAnsiTheme="minorHAnsi" w:cstheme="minorBidi"/>
              <w:color w:val="auto"/>
              <w:sz w:val="22"/>
            </w:rPr>
          </w:pPr>
          <w:hyperlink w:anchor="_Toc28010144" w:history="1">
            <w:r w:rsidR="00BD203B" w:rsidRPr="00CF45B3">
              <w:rPr>
                <w:rStyle w:val="Hyperlink"/>
              </w:rPr>
              <w:t>6.3 Nužno je kontinuirano praćenje iskazanih potreba poslodavaca za nedostajućom radnom snagom i potreba za stranom radnom snagom.</w:t>
            </w:r>
            <w:r w:rsidR="00BD203B">
              <w:rPr>
                <w:webHidden/>
              </w:rPr>
              <w:tab/>
            </w:r>
            <w:r w:rsidR="00BD203B">
              <w:rPr>
                <w:webHidden/>
              </w:rPr>
              <w:fldChar w:fldCharType="begin"/>
            </w:r>
            <w:r w:rsidR="00BD203B">
              <w:rPr>
                <w:webHidden/>
              </w:rPr>
              <w:instrText xml:space="preserve"> PAGEREF _Toc28010144 \h </w:instrText>
            </w:r>
            <w:r w:rsidR="00BD203B">
              <w:rPr>
                <w:webHidden/>
              </w:rPr>
            </w:r>
            <w:r w:rsidR="00BD203B">
              <w:rPr>
                <w:webHidden/>
              </w:rPr>
              <w:fldChar w:fldCharType="separate"/>
            </w:r>
            <w:r w:rsidR="005E2696">
              <w:rPr>
                <w:webHidden/>
              </w:rPr>
              <w:t>21</w:t>
            </w:r>
            <w:r w:rsidR="00BD203B">
              <w:rPr>
                <w:webHidden/>
              </w:rPr>
              <w:fldChar w:fldCharType="end"/>
            </w:r>
          </w:hyperlink>
        </w:p>
        <w:p w14:paraId="0A2B18F5" w14:textId="77777777" w:rsidR="00765CE7" w:rsidRDefault="00B80ACE">
          <w:pPr>
            <w:pStyle w:val="TOC1"/>
            <w:tabs>
              <w:tab w:val="left" w:pos="480"/>
              <w:tab w:val="right" w:leader="dot" w:pos="9062"/>
            </w:tabs>
          </w:pPr>
          <w:r>
            <w:rPr>
              <w:b/>
              <w:bCs/>
            </w:rPr>
            <w:fldChar w:fldCharType="end"/>
          </w:r>
        </w:p>
      </w:sdtContent>
    </w:sdt>
    <w:p w14:paraId="326920FB" w14:textId="77777777" w:rsidR="00765CE7" w:rsidRDefault="00765CE7">
      <w:pPr>
        <w:spacing w:after="247" w:line="254" w:lineRule="auto"/>
        <w:ind w:left="7"/>
        <w:jc w:val="left"/>
      </w:pPr>
    </w:p>
    <w:p w14:paraId="1CE9195A" w14:textId="42571E2E" w:rsidR="00F04C58" w:rsidRDefault="005D6B68" w:rsidP="00AC1F6B">
      <w:pPr>
        <w:tabs>
          <w:tab w:val="left" w:pos="6298"/>
          <w:tab w:val="left" w:pos="6372"/>
          <w:tab w:val="left" w:pos="8029"/>
        </w:tabs>
        <w:spacing w:after="247" w:line="254" w:lineRule="auto"/>
        <w:ind w:left="7"/>
        <w:jc w:val="left"/>
      </w:pPr>
      <w:r>
        <w:tab/>
      </w:r>
      <w:r>
        <w:tab/>
      </w:r>
      <w:r w:rsidR="00AC1F6B">
        <w:tab/>
      </w:r>
      <w:r w:rsidR="00AC1F6B">
        <w:tab/>
      </w:r>
    </w:p>
    <w:p w14:paraId="4BA8B2B2" w14:textId="3FE2F719" w:rsidR="00F04C58" w:rsidRDefault="00F04C58" w:rsidP="00775B0D">
      <w:pPr>
        <w:spacing w:after="247" w:line="254" w:lineRule="auto"/>
        <w:ind w:left="0" w:firstLine="0"/>
        <w:jc w:val="left"/>
      </w:pPr>
    </w:p>
    <w:p w14:paraId="012E537A" w14:textId="77777777" w:rsidR="00775B0D" w:rsidRDefault="00775B0D" w:rsidP="00775B0D">
      <w:pPr>
        <w:spacing w:after="247" w:line="254" w:lineRule="auto"/>
        <w:ind w:left="0" w:firstLine="0"/>
        <w:jc w:val="left"/>
      </w:pPr>
    </w:p>
    <w:p w14:paraId="21DC28A3" w14:textId="77777777" w:rsidR="00F04C58" w:rsidRDefault="00F04C58">
      <w:pPr>
        <w:spacing w:after="247" w:line="254" w:lineRule="auto"/>
        <w:ind w:left="7"/>
        <w:jc w:val="left"/>
      </w:pPr>
    </w:p>
    <w:p w14:paraId="06231CF2" w14:textId="77777777" w:rsidR="00765CE7" w:rsidRDefault="00765CE7"/>
    <w:p w14:paraId="343A9690" w14:textId="77777777" w:rsidR="00427A84" w:rsidRDefault="00427A84"/>
    <w:p w14:paraId="0C1A28A3" w14:textId="77777777" w:rsidR="00765CE7" w:rsidRDefault="00765CE7"/>
    <w:p w14:paraId="6295BBF2" w14:textId="77777777" w:rsidR="00765CE7" w:rsidRDefault="00765CE7"/>
    <w:p w14:paraId="25581EBD" w14:textId="77777777" w:rsidR="00765CE7" w:rsidRDefault="00B80ACE" w:rsidP="00427A84">
      <w:pPr>
        <w:pStyle w:val="Heading1"/>
        <w:numPr>
          <w:ilvl w:val="0"/>
          <w:numId w:val="1"/>
        </w:numPr>
      </w:pPr>
      <w:bookmarkStart w:id="1" w:name="_Toc28010128"/>
      <w:r>
        <w:lastRenderedPageBreak/>
        <w:t>UVOD</w:t>
      </w:r>
      <w:bookmarkEnd w:id="1"/>
    </w:p>
    <w:p w14:paraId="7F1D1910" w14:textId="22C6370B" w:rsidR="00BE42E4" w:rsidRDefault="00B80ACE" w:rsidP="00BE42E4">
      <w:pPr>
        <w:spacing w:after="0"/>
        <w:ind w:firstLine="0"/>
        <w:rPr>
          <w:color w:val="auto"/>
          <w:szCs w:val="24"/>
        </w:rPr>
      </w:pPr>
      <w:r>
        <w:rPr>
          <w:szCs w:val="24"/>
        </w:rPr>
        <w:t>Vijeće ministara Bosne i Hercegovine obavezalo</w:t>
      </w:r>
      <w:r w:rsidR="00F56038">
        <w:rPr>
          <w:szCs w:val="24"/>
        </w:rPr>
        <w:t xml:space="preserve"> je</w:t>
      </w:r>
      <w:r>
        <w:rPr>
          <w:szCs w:val="24"/>
        </w:rPr>
        <w:t xml:space="preserve"> </w:t>
      </w:r>
      <w:r>
        <w:rPr>
          <w:color w:val="auto"/>
          <w:szCs w:val="24"/>
        </w:rPr>
        <w:t xml:space="preserve">Ministarstvo civilnih poslova Bosne i Hercegovine da u saradnji sa nadležnim institucijama izradi Okvirne politike zapošljavanja stranaca u Bosni i Hercegovini (u daljem tekstu: BiH). </w:t>
      </w:r>
    </w:p>
    <w:p w14:paraId="1C7D999B" w14:textId="77777777" w:rsidR="00BE42E4" w:rsidRDefault="00BE42E4" w:rsidP="00BE42E4">
      <w:pPr>
        <w:spacing w:after="0"/>
        <w:ind w:firstLine="0"/>
        <w:rPr>
          <w:color w:val="auto"/>
          <w:szCs w:val="24"/>
        </w:rPr>
      </w:pPr>
    </w:p>
    <w:p w14:paraId="51C247D3" w14:textId="29BB76EE" w:rsidR="00765CE7" w:rsidRDefault="00B80ACE">
      <w:pPr>
        <w:spacing w:after="0"/>
        <w:ind w:firstLine="0"/>
        <w:rPr>
          <w:color w:val="auto"/>
          <w:szCs w:val="24"/>
        </w:rPr>
      </w:pPr>
      <w:r>
        <w:rPr>
          <w:color w:val="auto"/>
          <w:szCs w:val="24"/>
        </w:rPr>
        <w:t xml:space="preserve">U skladu sa navedenim zaključkom Ministarstvo civilnih poslova BiH je od nadležnih institucija zatražilo imenovanje predstavnika, na osnovu čega je formirana Radna grupa u čijem radu su učestvovali predstavnici Ministarstva civilnih poslova BiH, Ministarstva </w:t>
      </w:r>
      <w:r w:rsidR="00B13734">
        <w:rPr>
          <w:color w:val="auto"/>
          <w:szCs w:val="24"/>
        </w:rPr>
        <w:t xml:space="preserve">sigurnosti </w:t>
      </w:r>
      <w:r>
        <w:rPr>
          <w:color w:val="auto"/>
          <w:szCs w:val="24"/>
        </w:rPr>
        <w:t>BiH</w:t>
      </w:r>
      <w:r w:rsidR="00514F81">
        <w:rPr>
          <w:color w:val="auto"/>
          <w:szCs w:val="24"/>
        </w:rPr>
        <w:t xml:space="preserve"> - Sektor za imigracije</w:t>
      </w:r>
      <w:r w:rsidR="00CD363B">
        <w:rPr>
          <w:color w:val="auto"/>
          <w:szCs w:val="24"/>
        </w:rPr>
        <w:t xml:space="preserve"> i Službe za poslove sa strancima Ministarstva sigurnosti BiH</w:t>
      </w:r>
      <w:r>
        <w:rPr>
          <w:color w:val="auto"/>
          <w:szCs w:val="24"/>
        </w:rPr>
        <w:t xml:space="preserve">, Agencije za rad i zapošljavanje BiH, Ministarstva rada i boračko-invalidske zaštite Republike Srpske, Federalnog ministarstva rada i socijalne politike, Federalnog zavoda za zapošljavanje, JU Zavoda za zapošljavanje Republike Srpske i Zavoda za zapošljavanje Brčko </w:t>
      </w:r>
      <w:r w:rsidR="006143F0">
        <w:rPr>
          <w:color w:val="auto"/>
          <w:szCs w:val="24"/>
        </w:rPr>
        <w:t xml:space="preserve">Distrikta </w:t>
      </w:r>
      <w:r>
        <w:rPr>
          <w:color w:val="auto"/>
          <w:szCs w:val="24"/>
        </w:rPr>
        <w:t xml:space="preserve">BiH.  </w:t>
      </w:r>
    </w:p>
    <w:p w14:paraId="254A393B" w14:textId="77777777" w:rsidR="00765CE7" w:rsidRDefault="00B80ACE">
      <w:pPr>
        <w:spacing w:after="0"/>
        <w:ind w:firstLine="698"/>
        <w:rPr>
          <w:color w:val="auto"/>
          <w:szCs w:val="24"/>
        </w:rPr>
      </w:pPr>
      <w:r>
        <w:rPr>
          <w:color w:val="auto"/>
          <w:szCs w:val="24"/>
        </w:rPr>
        <w:t xml:space="preserve"> </w:t>
      </w:r>
    </w:p>
    <w:p w14:paraId="2B8247A1" w14:textId="56EA7A1E" w:rsidR="00765CE7" w:rsidRDefault="00B80ACE">
      <w:pPr>
        <w:spacing w:after="0"/>
        <w:ind w:firstLine="0"/>
        <w:rPr>
          <w:color w:val="auto"/>
          <w:szCs w:val="24"/>
          <w:lang w:val="sr-Latn-CS"/>
        </w:rPr>
      </w:pPr>
      <w:r>
        <w:rPr>
          <w:color w:val="auto"/>
          <w:szCs w:val="24"/>
          <w:lang w:val="sr-Latn-CS"/>
        </w:rPr>
        <w:t xml:space="preserve">Agencija za rad i zapošljavanje BiH je u saradnji sa </w:t>
      </w:r>
      <w:r>
        <w:rPr>
          <w:color w:val="auto"/>
          <w:szCs w:val="24"/>
        </w:rPr>
        <w:t xml:space="preserve">Federalnim zavodom za zapošljavanje, JU Zavodom za zapošljavanje Republike Srpske i Zavodom za zapošljavanje Brčko </w:t>
      </w:r>
      <w:r w:rsidR="006143F0">
        <w:rPr>
          <w:color w:val="auto"/>
          <w:szCs w:val="24"/>
        </w:rPr>
        <w:t xml:space="preserve">Distrikta </w:t>
      </w:r>
      <w:r>
        <w:rPr>
          <w:color w:val="auto"/>
          <w:szCs w:val="24"/>
        </w:rPr>
        <w:t>BiH</w:t>
      </w:r>
      <w:r>
        <w:rPr>
          <w:color w:val="auto"/>
          <w:szCs w:val="24"/>
          <w:lang w:val="sr-Latn-CS"/>
        </w:rPr>
        <w:t xml:space="preserve">,  na zahtjev Ministarstva civilnih poslova BiH u 2017. godini izradila Analizu budućih potreba zapošljavanja stranaca u BiH. Ova analiza, koja opisuje pravni i insititucionalni okvir zapošljavanja stranaca sa radnom dozvolom u BiH, kontrolu i nadzor nad zaposlenim stranim državljanima i buduće potrebe za zapošljavanjem stranaca u BiH sa zaključnim razmatranjima, poslužila je kao polazna osnova u izradi dokumenta </w:t>
      </w:r>
      <w:r w:rsidR="00541A36">
        <w:rPr>
          <w:color w:val="auto"/>
          <w:szCs w:val="24"/>
          <w:lang w:val="sr-Latn-CS"/>
        </w:rPr>
        <w:t>Platforma zapošljavanja stranaca u Bosni i Hercegovini.</w:t>
      </w:r>
    </w:p>
    <w:p w14:paraId="4002B1FF" w14:textId="77777777" w:rsidR="00765CE7" w:rsidRDefault="00765CE7">
      <w:pPr>
        <w:spacing w:after="0"/>
        <w:ind w:firstLine="0"/>
        <w:rPr>
          <w:color w:val="auto"/>
          <w:szCs w:val="24"/>
          <w:lang w:val="sr-Latn-CS"/>
        </w:rPr>
      </w:pPr>
    </w:p>
    <w:p w14:paraId="57F37E44" w14:textId="541A51EA" w:rsidR="00F017E7" w:rsidRDefault="00541A36" w:rsidP="00F017E7">
      <w:pPr>
        <w:ind w:left="7" w:firstLine="0"/>
        <w:rPr>
          <w:color w:val="auto"/>
        </w:rPr>
      </w:pPr>
      <w:r w:rsidRPr="00541A36">
        <w:rPr>
          <w:color w:val="auto"/>
        </w:rPr>
        <w:t>Platforma zapošljavanja</w:t>
      </w:r>
      <w:r>
        <w:rPr>
          <w:color w:val="auto"/>
        </w:rPr>
        <w:t xml:space="preserve"> stranaca u Bosni i Hercegovini </w:t>
      </w:r>
      <w:r w:rsidR="00B80ACE">
        <w:rPr>
          <w:color w:val="auto"/>
        </w:rPr>
        <w:t>je okvirni i bazni dokument na osnovu kojeg će biti doneseni</w:t>
      </w:r>
      <w:r w:rsidR="00F017E7">
        <w:rPr>
          <w:color w:val="auto"/>
        </w:rPr>
        <w:t xml:space="preserve"> </w:t>
      </w:r>
      <w:r w:rsidR="002F44A2">
        <w:rPr>
          <w:color w:val="auto"/>
        </w:rPr>
        <w:t>provedbeni akti</w:t>
      </w:r>
      <w:r w:rsidR="00E07197">
        <w:rPr>
          <w:color w:val="auto"/>
        </w:rPr>
        <w:t>,</w:t>
      </w:r>
      <w:r w:rsidR="003964EC" w:rsidRPr="003964EC">
        <w:rPr>
          <w:color w:val="auto"/>
        </w:rPr>
        <w:t xml:space="preserve"> </w:t>
      </w:r>
      <w:r w:rsidR="003964EC">
        <w:rPr>
          <w:color w:val="auto"/>
        </w:rPr>
        <w:t>ukoliko to bude potrebno</w:t>
      </w:r>
      <w:r w:rsidR="00C66956">
        <w:rPr>
          <w:color w:val="auto"/>
        </w:rPr>
        <w:t>,</w:t>
      </w:r>
      <w:r w:rsidR="00CE395A">
        <w:rPr>
          <w:color w:val="auto"/>
        </w:rPr>
        <w:t xml:space="preserve"> </w:t>
      </w:r>
      <w:r w:rsidR="00F017E7">
        <w:rPr>
          <w:color w:val="auto"/>
        </w:rPr>
        <w:t>u skladu sa ustavnim i zakonskim nadležnostima u BiH</w:t>
      </w:r>
      <w:r w:rsidR="00C66956">
        <w:rPr>
          <w:color w:val="auto"/>
        </w:rPr>
        <w:t xml:space="preserve"> </w:t>
      </w:r>
      <w:r w:rsidR="00F017E7">
        <w:rPr>
          <w:color w:val="auto"/>
        </w:rPr>
        <w:t xml:space="preserve">u vezi sa zapošljavanjem stranaca u Bosni i Hercegovini. </w:t>
      </w:r>
    </w:p>
    <w:p w14:paraId="5E65C809" w14:textId="3C95BFFF" w:rsidR="00765CE7" w:rsidRPr="00F017E7" w:rsidRDefault="00B80ACE" w:rsidP="00F017E7">
      <w:pPr>
        <w:ind w:left="7" w:firstLine="0"/>
        <w:rPr>
          <w:color w:val="auto"/>
        </w:rPr>
      </w:pPr>
      <w:r>
        <w:rPr>
          <w:color w:val="auto"/>
        </w:rPr>
        <w:t xml:space="preserve"> </w:t>
      </w:r>
    </w:p>
    <w:p w14:paraId="1443A3F3" w14:textId="3E53842C" w:rsidR="00EE1E03" w:rsidRDefault="00EE1E03">
      <w:pPr>
        <w:spacing w:after="0"/>
        <w:ind w:firstLine="0"/>
        <w:rPr>
          <w:b/>
          <w:color w:val="auto"/>
          <w:szCs w:val="24"/>
          <w:lang w:val="sr-Latn-CS"/>
        </w:rPr>
      </w:pPr>
      <w:r>
        <w:rPr>
          <w:b/>
          <w:color w:val="auto"/>
          <w:szCs w:val="24"/>
          <w:lang w:val="sr-Latn-CS"/>
        </w:rPr>
        <w:t>Vizija dokumenta</w:t>
      </w:r>
    </w:p>
    <w:p w14:paraId="648580CE" w14:textId="77777777" w:rsidR="00EE1E03" w:rsidRDefault="00EE1E03">
      <w:pPr>
        <w:spacing w:after="0"/>
        <w:ind w:firstLine="0"/>
        <w:rPr>
          <w:b/>
          <w:color w:val="auto"/>
          <w:szCs w:val="24"/>
          <w:lang w:val="sr-Latn-CS"/>
        </w:rPr>
      </w:pPr>
    </w:p>
    <w:p w14:paraId="70AB470F" w14:textId="0CB67327" w:rsidR="00EE1E03" w:rsidRPr="00EE1E03" w:rsidRDefault="00EE1E03">
      <w:pPr>
        <w:spacing w:after="0"/>
        <w:ind w:firstLine="0"/>
        <w:rPr>
          <w:color w:val="auto"/>
          <w:szCs w:val="24"/>
          <w:lang w:val="sr-Latn-CS"/>
        </w:rPr>
      </w:pPr>
      <w:r w:rsidRPr="00EE1E03">
        <w:rPr>
          <w:color w:val="auto"/>
          <w:szCs w:val="24"/>
          <w:lang w:val="sr-Latn-CS"/>
        </w:rPr>
        <w:t xml:space="preserve">Vizija dokumenta Platforma zapošljavanja stranaca u Bosni i Hercegovini je uspostavljanje kontinuiranog praćenja svih segmenata koji imaju uticaja na zapošljavanje stranaca u BiH, kao i jačanje međuinstitucionalne saradnje svih institucija koje prate, nadziru, zapošljavaju ili posreduju u zapošljavanju </w:t>
      </w:r>
      <w:r w:rsidR="00052671">
        <w:rPr>
          <w:color w:val="auto"/>
          <w:szCs w:val="24"/>
          <w:lang w:val="sr-Latn-CS"/>
        </w:rPr>
        <w:t xml:space="preserve">stranaca </w:t>
      </w:r>
      <w:r w:rsidRPr="00EE1E03">
        <w:rPr>
          <w:color w:val="auto"/>
          <w:szCs w:val="24"/>
          <w:lang w:val="sr-Latn-CS"/>
        </w:rPr>
        <w:t>u BiH, kao i da se ukaže na jasno opredjeljenje institucija BiH u praćenju tokova radnih migracija u i izvan granica BiH.</w:t>
      </w:r>
    </w:p>
    <w:p w14:paraId="32E313CD" w14:textId="77777777" w:rsidR="00896346" w:rsidRPr="00EE1E03" w:rsidRDefault="00896346" w:rsidP="00896346">
      <w:pPr>
        <w:ind w:firstLine="0"/>
        <w:rPr>
          <w:color w:val="auto"/>
          <w:szCs w:val="24"/>
        </w:rPr>
      </w:pPr>
      <w:r w:rsidRPr="00EE1E03">
        <w:rPr>
          <w:color w:val="auto"/>
          <w:szCs w:val="24"/>
        </w:rPr>
        <w:t xml:space="preserve">Radne migracije nose u sebi veliki potencijal i mogu da doprinesu kako državama destinacije i njihovim društvima, tako i zemljama iz kojih dolaze, ali i samim migrantima. One mogu biti snažan pokretač smanjenja siromaštva i razvoja u zemljama porijekla. Inostrano iskustvo i doznake doprinose ekonomiji, ali utiču i na promjenu vrijednosti, kako na individualnom, tako i na nivou zajednice. S druge strane, imigracija može biti pokretač ekonomskog rasta i inovacija. Strani radnici mogu djelovati kao katalizator za otvaranje novih radnih mjesta, doprinijeti prevazilaženju problema nedostatka radne snage i povećanju efikasnosti tržišta rada. </w:t>
      </w:r>
    </w:p>
    <w:p w14:paraId="01B7E1EE" w14:textId="77777777" w:rsidR="00765CE7" w:rsidRDefault="00765CE7">
      <w:pPr>
        <w:spacing w:after="0"/>
        <w:ind w:firstLine="0"/>
        <w:rPr>
          <w:color w:val="auto"/>
          <w:szCs w:val="24"/>
          <w:lang w:val="sr-Latn-CS"/>
        </w:rPr>
      </w:pPr>
    </w:p>
    <w:p w14:paraId="06632714" w14:textId="77777777" w:rsidR="00765CE7" w:rsidRDefault="00B80ACE">
      <w:pPr>
        <w:pStyle w:val="Heading1"/>
        <w:numPr>
          <w:ilvl w:val="0"/>
          <w:numId w:val="1"/>
        </w:numPr>
      </w:pPr>
      <w:bookmarkStart w:id="2" w:name="_Toc28010129"/>
      <w:bookmarkStart w:id="3" w:name="_Toc14211"/>
      <w:r>
        <w:t>PRAVNI OSNOV</w:t>
      </w:r>
      <w:bookmarkEnd w:id="2"/>
      <w:r>
        <w:t xml:space="preserve"> </w:t>
      </w:r>
      <w:bookmarkEnd w:id="3"/>
    </w:p>
    <w:p w14:paraId="575192B6" w14:textId="400A4797" w:rsidR="009C35E6" w:rsidRDefault="00B80ACE" w:rsidP="00EE1E03">
      <w:pPr>
        <w:ind w:firstLine="0"/>
        <w:rPr>
          <w:rFonts w:ascii="MHBCEP+TimesNewRoman" w:hAnsi="MHBCEP+TimesNewRoman" w:cs="MHBCEP+TimesNewRoman"/>
          <w:sz w:val="22"/>
        </w:rPr>
      </w:pPr>
      <w:r>
        <w:t>U skladu sa Ustavom BiH, oblast rada i zapošljavanja, pa tako i zapošljavanje stranaca u BiH, je u nadležnosti entiteta</w:t>
      </w:r>
      <w:r w:rsidR="00114E73">
        <w:t xml:space="preserve"> i Brčko Distrikta BiH</w:t>
      </w:r>
      <w:r>
        <w:t>, koji su pravno regulisali ovu oblast posebnim zakonima.</w:t>
      </w:r>
    </w:p>
    <w:p w14:paraId="082D855E" w14:textId="77777777" w:rsidR="0012691B" w:rsidRDefault="0012691B" w:rsidP="0012691B">
      <w:pPr>
        <w:ind w:firstLine="0"/>
      </w:pPr>
    </w:p>
    <w:p w14:paraId="55620C29" w14:textId="520D9475" w:rsidR="0012691B" w:rsidRDefault="0012691B" w:rsidP="0012691B">
      <w:pPr>
        <w:ind w:firstLine="0"/>
        <w:rPr>
          <w:lang w:val="sr-Latn-BA"/>
        </w:rPr>
      </w:pPr>
      <w:r w:rsidRPr="005E79C1">
        <w:rPr>
          <w:lang w:val="sr-Latn-BA"/>
        </w:rPr>
        <w:t>Politika i regulisanje pitanja imigracije, izbjeglica i azila, u nadležnosti je institucija Bosne i Hercegovine, u skladu sa Ustavom Bosne i Hercegovine.</w:t>
      </w:r>
    </w:p>
    <w:p w14:paraId="2F419B74" w14:textId="77777777" w:rsidR="00EE1E03" w:rsidRPr="00EE1E03" w:rsidRDefault="00EE1E03" w:rsidP="0012691B">
      <w:pPr>
        <w:ind w:left="0" w:firstLine="0"/>
        <w:rPr>
          <w:rFonts w:ascii="MHBCEP+TimesNewRoman" w:hAnsi="MHBCEP+TimesNewRoman" w:cs="MHBCEP+TimesNewRoman"/>
          <w:sz w:val="22"/>
        </w:rPr>
      </w:pPr>
    </w:p>
    <w:p w14:paraId="70B51F75" w14:textId="77777777" w:rsidR="00765CE7" w:rsidRDefault="00B80ACE" w:rsidP="0012691B">
      <w:r>
        <w:t>Aneks I Ustava BiH navodi dodatne sporazume o ljudskim pravima koji se primjenjuju u BiH, među kojima treba pomenuti Međunarodnu konvenciju o zaštiti prava svih radnika-migranata i članova njihovih porodica (1990).</w:t>
      </w:r>
    </w:p>
    <w:p w14:paraId="6F84B197" w14:textId="77777777" w:rsidR="00765CE7" w:rsidRDefault="00765CE7"/>
    <w:p w14:paraId="509DED9C" w14:textId="77777777" w:rsidR="00765CE7" w:rsidRDefault="00B80ACE">
      <w:r>
        <w:t>B</w:t>
      </w:r>
      <w:r w:rsidR="009254FB">
        <w:t xml:space="preserve">osna </w:t>
      </w:r>
      <w:r>
        <w:t>i</w:t>
      </w:r>
      <w:r w:rsidR="009254FB">
        <w:t xml:space="preserve"> </w:t>
      </w:r>
      <w:r>
        <w:t>H</w:t>
      </w:r>
      <w:r w:rsidR="009254FB">
        <w:t>ercegovina</w:t>
      </w:r>
      <w:r>
        <w:t xml:space="preserve"> je kao članica Međunarodne organizacije rada od 1993. godine, preuzela prava i obaveze koje proističu iz ratifikovanih konvencija, o čijoj primjeni redovno obavještava Međunarodnu kancelariju rada. </w:t>
      </w:r>
    </w:p>
    <w:p w14:paraId="55B147F9" w14:textId="77777777" w:rsidR="00765CE7" w:rsidRDefault="00765CE7"/>
    <w:p w14:paraId="0D22EE2E" w14:textId="77777777" w:rsidR="00765CE7" w:rsidRDefault="00B80ACE">
      <w:pPr>
        <w:ind w:firstLine="0"/>
        <w:rPr>
          <w:b/>
          <w:lang w:val="sr-Latn-BA"/>
        </w:rPr>
      </w:pPr>
      <w:r>
        <w:t xml:space="preserve">Između ostalih ratifikovana je i Konvencija o </w:t>
      </w:r>
      <w:r w:rsidRPr="0054726E">
        <w:rPr>
          <w:lang w:val="sr-Latn-BA"/>
        </w:rPr>
        <w:t>migraciji radi zapošljavanja (revidirana), iz 1949. godine (broj 97) čija je ratifikacija registrovana</w:t>
      </w:r>
      <w:r w:rsidRPr="0054726E">
        <w:rPr>
          <w:bCs/>
          <w:lang w:val="sr-Latn-BA"/>
        </w:rPr>
        <w:t xml:space="preserve"> 2. juna 1993. godine,</w:t>
      </w:r>
      <w:r>
        <w:rPr>
          <w:bCs/>
          <w:lang w:val="sr-Latn-BA"/>
        </w:rPr>
        <w:t xml:space="preserve"> od kada je ova konvencija na snazi za BiH.</w:t>
      </w:r>
    </w:p>
    <w:p w14:paraId="10182292" w14:textId="77777777" w:rsidR="00765CE7" w:rsidRDefault="00765CE7">
      <w:pPr>
        <w:ind w:firstLine="0"/>
      </w:pPr>
    </w:p>
    <w:p w14:paraId="08F2F5F0" w14:textId="77777777" w:rsidR="00765CE7" w:rsidRDefault="00B80ACE">
      <w:pPr>
        <w:ind w:firstLine="0"/>
      </w:pPr>
      <w:r>
        <w:t>Takođe, BiH je ratifikovala Konvenciju o radnicima migrantima (dodatne odredbe), iz 1975. godine, (broj 143), koja je na snazi za BiH od 2. juna 1993. godine.</w:t>
      </w:r>
    </w:p>
    <w:p w14:paraId="4E3FACCF" w14:textId="77777777" w:rsidR="00DA3C51" w:rsidRDefault="00DA3C51" w:rsidP="0012691B">
      <w:pPr>
        <w:ind w:left="0" w:firstLine="0"/>
        <w:rPr>
          <w:lang w:val="sr-Latn-BA"/>
        </w:rPr>
      </w:pPr>
    </w:p>
    <w:p w14:paraId="646039B0" w14:textId="4590D4F6" w:rsidR="00765CE7" w:rsidRPr="008B58F0" w:rsidRDefault="00B80ACE" w:rsidP="009C35E6">
      <w:pPr>
        <w:ind w:firstLine="0"/>
        <w:rPr>
          <w:strike/>
          <w:lang w:val="sr-Latn-BA"/>
        </w:rPr>
      </w:pPr>
      <w:r>
        <w:rPr>
          <w:lang w:val="sr-Latn-BA"/>
        </w:rPr>
        <w:t xml:space="preserve">Parlamentarna skupština BiH je donijela Zakon o strancima </w:t>
      </w:r>
      <w:r>
        <w:rPr>
          <w:lang w:eastAsia="sr-Latn-BA"/>
        </w:rPr>
        <w:t xml:space="preserve">(„Službeni glasnik BiH“, broj 88/15) </w:t>
      </w:r>
      <w:r>
        <w:rPr>
          <w:lang w:val="sr-Latn-BA"/>
        </w:rPr>
        <w:t>koji je u najvećoj mjeri uskla</w:t>
      </w:r>
      <w:r>
        <w:rPr>
          <w:rFonts w:eastAsia="TimesNewRoman"/>
          <w:lang w:val="sr-Latn-BA"/>
        </w:rPr>
        <w:t>đ</w:t>
      </w:r>
      <w:r>
        <w:rPr>
          <w:lang w:val="sr-Latn-BA"/>
        </w:rPr>
        <w:t>en sa me</w:t>
      </w:r>
      <w:r>
        <w:rPr>
          <w:rFonts w:eastAsia="TimesNewRoman"/>
          <w:lang w:val="sr-Latn-BA"/>
        </w:rPr>
        <w:t>đ</w:t>
      </w:r>
      <w:r>
        <w:rPr>
          <w:lang w:val="sr-Latn-BA"/>
        </w:rPr>
        <w:t xml:space="preserve">unarodnim standardima i standardima Evropske unije. </w:t>
      </w:r>
    </w:p>
    <w:p w14:paraId="5A920840" w14:textId="77777777" w:rsidR="00765CE7" w:rsidRDefault="00765CE7">
      <w:pPr>
        <w:ind w:firstLine="0"/>
      </w:pPr>
    </w:p>
    <w:p w14:paraId="6F391984" w14:textId="77777777" w:rsidR="001843D2" w:rsidRPr="00EE1E03" w:rsidRDefault="008B58F0" w:rsidP="0015094B">
      <w:pPr>
        <w:spacing w:after="0" w:line="240" w:lineRule="auto"/>
        <w:ind w:right="0"/>
        <w:rPr>
          <w:color w:val="auto"/>
          <w:szCs w:val="24"/>
        </w:rPr>
      </w:pPr>
      <w:r w:rsidRPr="00EE1E03">
        <w:rPr>
          <w:color w:val="auto"/>
        </w:rPr>
        <w:t>Z</w:t>
      </w:r>
      <w:r w:rsidR="0015094B" w:rsidRPr="00EE1E03">
        <w:rPr>
          <w:color w:val="auto"/>
        </w:rPr>
        <w:t>akonom o strancima propisani su</w:t>
      </w:r>
      <w:r w:rsidRPr="00EE1E03">
        <w:rPr>
          <w:color w:val="auto"/>
        </w:rPr>
        <w:t xml:space="preserve"> </w:t>
      </w:r>
      <w:r w:rsidR="0015094B" w:rsidRPr="00EE1E03">
        <w:rPr>
          <w:color w:val="auto"/>
          <w:szCs w:val="24"/>
        </w:rPr>
        <w:t>uslovi i postupak ulaska stranaca u Bosnu i Hercegovinu, uključujući vizni i bezvizni režim, putne isprave za strance, boravak stranaca u BiH, udaljenje iz BiH, prihvat i stavljanje stranaca pod nadzor, kao i nadležnosti organa vlasti u primjeni ovog zakona, druga pitanja u vezi s boravkom stranaca u BiH, te prekršaji i kazne za prekršaje počinjene povredom odredbi ovog zakona. </w:t>
      </w:r>
    </w:p>
    <w:p w14:paraId="6C8EDD56" w14:textId="77777777" w:rsidR="004504D7" w:rsidRPr="00EE1E03" w:rsidRDefault="004504D7" w:rsidP="0015094B">
      <w:pPr>
        <w:spacing w:after="0" w:line="240" w:lineRule="auto"/>
        <w:ind w:right="0"/>
        <w:rPr>
          <w:color w:val="auto"/>
          <w:szCs w:val="24"/>
        </w:rPr>
      </w:pPr>
    </w:p>
    <w:p w14:paraId="3FCE1105" w14:textId="32C0CA06" w:rsidR="004504D7" w:rsidRPr="00EE1E03" w:rsidRDefault="00C8629E" w:rsidP="0015094B">
      <w:pPr>
        <w:spacing w:after="0" w:line="240" w:lineRule="auto"/>
        <w:ind w:right="0"/>
        <w:rPr>
          <w:color w:val="auto"/>
          <w:szCs w:val="24"/>
        </w:rPr>
      </w:pPr>
      <w:r w:rsidRPr="00EE1E03">
        <w:rPr>
          <w:color w:val="auto"/>
          <w:szCs w:val="24"/>
        </w:rPr>
        <w:t xml:space="preserve">U skladu sa </w:t>
      </w:r>
      <w:r w:rsidR="00E449C8" w:rsidRPr="00EE1E03">
        <w:rPr>
          <w:color w:val="auto"/>
          <w:szCs w:val="24"/>
        </w:rPr>
        <w:t xml:space="preserve">obavezom BiH koja je propisana </w:t>
      </w:r>
      <w:r w:rsidRPr="00EE1E03">
        <w:rPr>
          <w:color w:val="auto"/>
          <w:szCs w:val="24"/>
        </w:rPr>
        <w:t xml:space="preserve">članom 70. </w:t>
      </w:r>
      <w:r w:rsidRPr="00EE1E03">
        <w:rPr>
          <w:color w:val="auto"/>
        </w:rPr>
        <w:t xml:space="preserve">Sporazuma o stabilizaciji i pridruživanju, </w:t>
      </w:r>
      <w:r w:rsidR="00623760" w:rsidRPr="00EE1E03">
        <w:rPr>
          <w:color w:val="auto"/>
          <w:szCs w:val="24"/>
        </w:rPr>
        <w:t>Zakon o stran</w:t>
      </w:r>
      <w:r w:rsidRPr="00EE1E03">
        <w:rPr>
          <w:color w:val="auto"/>
          <w:szCs w:val="24"/>
        </w:rPr>
        <w:t>cima je usklađivan sa EU Acquis  i to sa sljedećim direktivama i uredbama:</w:t>
      </w:r>
    </w:p>
    <w:p w14:paraId="5F6FD27E" w14:textId="77777777" w:rsidR="004504D7" w:rsidRPr="00EE1E03" w:rsidRDefault="004504D7" w:rsidP="0015094B">
      <w:pPr>
        <w:spacing w:after="0" w:line="240" w:lineRule="auto"/>
        <w:ind w:right="0"/>
        <w:rPr>
          <w:color w:val="auto"/>
          <w:szCs w:val="24"/>
        </w:rPr>
      </w:pPr>
    </w:p>
    <w:p w14:paraId="336EE23C" w14:textId="1E57DE29" w:rsidR="00C35739" w:rsidRDefault="00623760" w:rsidP="00C35739">
      <w:pPr>
        <w:pStyle w:val="ListParagraph"/>
        <w:numPr>
          <w:ilvl w:val="0"/>
          <w:numId w:val="27"/>
        </w:numPr>
        <w:spacing w:after="0" w:line="240" w:lineRule="auto"/>
        <w:ind w:right="0"/>
        <w:rPr>
          <w:rFonts w:cs="Arial"/>
          <w:color w:val="auto"/>
          <w:szCs w:val="24"/>
        </w:rPr>
      </w:pPr>
      <w:r w:rsidRPr="00EE1E03">
        <w:rPr>
          <w:rFonts w:cs="Arial"/>
          <w:color w:val="auto"/>
          <w:szCs w:val="24"/>
        </w:rPr>
        <w:t>Direktiv</w:t>
      </w:r>
      <w:r w:rsidR="00C8629E" w:rsidRPr="00EE1E03">
        <w:rPr>
          <w:rFonts w:cs="Arial"/>
          <w:color w:val="auto"/>
          <w:szCs w:val="24"/>
        </w:rPr>
        <w:t>om</w:t>
      </w:r>
      <w:r w:rsidRPr="00EE1E03">
        <w:rPr>
          <w:rFonts w:cs="Arial"/>
          <w:color w:val="auto"/>
          <w:szCs w:val="24"/>
        </w:rPr>
        <w:t xml:space="preserve"> Vijeća 2003</w:t>
      </w:r>
      <w:r w:rsidRPr="00EE1E03">
        <w:rPr>
          <w:rFonts w:cs="Arial"/>
          <w:b/>
          <w:color w:val="auto"/>
          <w:szCs w:val="24"/>
        </w:rPr>
        <w:t>/</w:t>
      </w:r>
      <w:r w:rsidRPr="00EE1E03">
        <w:rPr>
          <w:rFonts w:cs="Arial"/>
          <w:color w:val="auto"/>
          <w:szCs w:val="24"/>
        </w:rPr>
        <w:t>86/EZ od 22.</w:t>
      </w:r>
      <w:r w:rsidR="00C35739">
        <w:rPr>
          <w:rFonts w:cs="Arial"/>
          <w:color w:val="auto"/>
          <w:szCs w:val="24"/>
        </w:rPr>
        <w:t xml:space="preserve"> septembra</w:t>
      </w:r>
      <w:r w:rsidR="00B66513">
        <w:rPr>
          <w:rFonts w:cs="Arial"/>
          <w:color w:val="auto"/>
          <w:szCs w:val="24"/>
        </w:rPr>
        <w:t xml:space="preserve"> </w:t>
      </w:r>
      <w:r w:rsidRPr="00EE1E03">
        <w:rPr>
          <w:rFonts w:cs="Arial"/>
          <w:color w:val="auto"/>
          <w:szCs w:val="24"/>
        </w:rPr>
        <w:t>2003</w:t>
      </w:r>
      <w:r w:rsidR="00B66513">
        <w:rPr>
          <w:rFonts w:cs="Arial"/>
          <w:color w:val="auto"/>
          <w:szCs w:val="24"/>
        </w:rPr>
        <w:t>.</w:t>
      </w:r>
      <w:r w:rsidR="00A60076">
        <w:rPr>
          <w:rFonts w:cs="Arial"/>
          <w:color w:val="auto"/>
          <w:szCs w:val="24"/>
        </w:rPr>
        <w:t xml:space="preserve"> godine,</w:t>
      </w:r>
      <w:r w:rsidR="00B66513">
        <w:rPr>
          <w:rFonts w:cs="Arial"/>
          <w:color w:val="auto"/>
          <w:szCs w:val="24"/>
        </w:rPr>
        <w:t xml:space="preserve"> </w:t>
      </w:r>
      <w:r w:rsidRPr="00EE1E03">
        <w:rPr>
          <w:rFonts w:cs="Arial"/>
          <w:color w:val="auto"/>
          <w:szCs w:val="24"/>
        </w:rPr>
        <w:t>o pravu  na spajanje</w:t>
      </w:r>
      <w:r w:rsidR="006415DC">
        <w:rPr>
          <w:rFonts w:cs="Arial"/>
          <w:color w:val="auto"/>
          <w:szCs w:val="24"/>
        </w:rPr>
        <w:t xml:space="preserve"> porodice;</w:t>
      </w:r>
    </w:p>
    <w:p w14:paraId="578F1CFD" w14:textId="4D3A2623"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2003/109/EZ Evropskog Parlamenta  i Vijeća od 25. novembra 2003. godine</w:t>
      </w:r>
      <w:r w:rsidR="00A60076">
        <w:rPr>
          <w:rFonts w:cs="Arial"/>
          <w:color w:val="auto"/>
          <w:szCs w:val="24"/>
        </w:rPr>
        <w:t>,</w:t>
      </w:r>
      <w:r w:rsidR="00623760" w:rsidRPr="00EE1E03">
        <w:rPr>
          <w:rFonts w:cs="Arial"/>
          <w:color w:val="auto"/>
          <w:szCs w:val="24"/>
        </w:rPr>
        <w:t xml:space="preserve">  o statusu državljana trećih država koji imaju stalni boravak</w:t>
      </w:r>
      <w:r w:rsidR="00A60076">
        <w:rPr>
          <w:rFonts w:cs="Arial"/>
          <w:color w:val="auto"/>
          <w:szCs w:val="24"/>
        </w:rPr>
        <w:t>;</w:t>
      </w:r>
      <w:r w:rsidR="00623760" w:rsidRPr="00EE1E03">
        <w:rPr>
          <w:rFonts w:cs="Arial"/>
          <w:color w:val="auto"/>
          <w:szCs w:val="24"/>
        </w:rPr>
        <w:t xml:space="preserve"> </w:t>
      </w:r>
    </w:p>
    <w:p w14:paraId="285802A2" w14:textId="0DDA6588"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2004/114/EZ od 13. decembra 2004.</w:t>
      </w:r>
      <w:r w:rsidR="00A60076">
        <w:rPr>
          <w:rFonts w:cs="Arial"/>
          <w:color w:val="auto"/>
          <w:szCs w:val="24"/>
        </w:rPr>
        <w:t xml:space="preserve"> godine,</w:t>
      </w:r>
      <w:r w:rsidR="00623760" w:rsidRPr="00EE1E03">
        <w:rPr>
          <w:rFonts w:cs="Arial"/>
          <w:color w:val="auto"/>
          <w:szCs w:val="24"/>
        </w:rPr>
        <w:t xml:space="preserve"> o uvjetima prihvata državljana trećih država u svrhu studiranja, razmjene učenika, neplaćene izobrazbe ili dobrovoljnog rada</w:t>
      </w:r>
      <w:r w:rsidR="00A60076">
        <w:rPr>
          <w:rFonts w:cs="Arial"/>
          <w:color w:val="auto"/>
          <w:szCs w:val="24"/>
        </w:rPr>
        <w:t>;</w:t>
      </w:r>
    </w:p>
    <w:p w14:paraId="5369C9D5" w14:textId="5311776E"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2008/115/EZ Evropskog Parlamenta i  Vijeća od 16. decembra 2008</w:t>
      </w:r>
      <w:r w:rsidR="00A60076">
        <w:rPr>
          <w:rFonts w:cs="Arial"/>
          <w:color w:val="auto"/>
          <w:szCs w:val="24"/>
        </w:rPr>
        <w:t>. godine,</w:t>
      </w:r>
      <w:r w:rsidR="00623760" w:rsidRPr="00EE1E03">
        <w:rPr>
          <w:rFonts w:cs="Arial"/>
          <w:color w:val="auto"/>
          <w:szCs w:val="24"/>
        </w:rPr>
        <w:t xml:space="preserve"> o zajedničkim standardima i postupanjima u državama članicama u vezi s vraćanjem osoba trećih zemalja čiji je boravak nezakonit</w:t>
      </w:r>
      <w:r w:rsidR="00A60076">
        <w:rPr>
          <w:rFonts w:cs="Arial"/>
          <w:color w:val="auto"/>
          <w:szCs w:val="24"/>
        </w:rPr>
        <w:t>;</w:t>
      </w:r>
    </w:p>
    <w:p w14:paraId="1C70C713" w14:textId="7E1B639A"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2005/71/EZ od 12. oktobra 2005.</w:t>
      </w:r>
      <w:r w:rsidR="00A60076">
        <w:rPr>
          <w:rFonts w:cs="Arial"/>
          <w:color w:val="auto"/>
          <w:szCs w:val="24"/>
        </w:rPr>
        <w:t xml:space="preserve"> godine,</w:t>
      </w:r>
      <w:r w:rsidR="00623760" w:rsidRPr="00EE1E03">
        <w:rPr>
          <w:rFonts w:cs="Arial"/>
          <w:color w:val="auto"/>
          <w:szCs w:val="24"/>
        </w:rPr>
        <w:t xml:space="preserve"> o posebnom postupku za ulazak državljana trećih zemalja u svrhu naučnog istraživanja</w:t>
      </w:r>
      <w:r w:rsidR="00A60076">
        <w:rPr>
          <w:rFonts w:cs="Arial"/>
          <w:color w:val="auto"/>
          <w:szCs w:val="24"/>
        </w:rPr>
        <w:t>;</w:t>
      </w:r>
    </w:p>
    <w:p w14:paraId="2D91DD73" w14:textId="1112EC89"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Vijeća 2009/50</w:t>
      </w:r>
      <w:r w:rsidR="00623760" w:rsidRPr="00EE1E03">
        <w:rPr>
          <w:rFonts w:cs="Arial"/>
          <w:b/>
          <w:color w:val="auto"/>
          <w:szCs w:val="24"/>
        </w:rPr>
        <w:t>/</w:t>
      </w:r>
      <w:r w:rsidR="00623760" w:rsidRPr="00EE1E03">
        <w:rPr>
          <w:rFonts w:cs="Arial"/>
          <w:color w:val="auto"/>
          <w:szCs w:val="24"/>
        </w:rPr>
        <w:t>EZ od 25. maja 2009. godine</w:t>
      </w:r>
      <w:r w:rsidR="00A60076">
        <w:rPr>
          <w:rFonts w:cs="Arial"/>
          <w:color w:val="auto"/>
          <w:szCs w:val="24"/>
        </w:rPr>
        <w:t>,</w:t>
      </w:r>
      <w:r w:rsidR="00623760" w:rsidRPr="00EE1E03">
        <w:rPr>
          <w:rFonts w:cs="Arial"/>
          <w:color w:val="auto"/>
          <w:szCs w:val="24"/>
        </w:rPr>
        <w:t xml:space="preserve"> o uvjetima ulaska i boravka državljana trećih država u svrhu zapošljavanja visokokvalificirane radne snage</w:t>
      </w:r>
      <w:r w:rsidR="00A60076">
        <w:rPr>
          <w:rFonts w:cs="Arial"/>
          <w:color w:val="auto"/>
          <w:szCs w:val="24"/>
        </w:rPr>
        <w:t>;</w:t>
      </w:r>
    </w:p>
    <w:p w14:paraId="4FE94B6F" w14:textId="01982DA6"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lastRenderedPageBreak/>
        <w:t xml:space="preserve">Direktivom </w:t>
      </w:r>
      <w:r w:rsidR="00623760" w:rsidRPr="00EE1E03">
        <w:rPr>
          <w:rFonts w:cs="Arial"/>
          <w:color w:val="auto"/>
          <w:szCs w:val="24"/>
        </w:rPr>
        <w:t xml:space="preserve">2014/36/EU Evropskog parlamenta i Vijeća od 26. februara 2014. </w:t>
      </w:r>
      <w:r w:rsidR="00A60076">
        <w:rPr>
          <w:rFonts w:cs="Arial"/>
          <w:color w:val="auto"/>
          <w:szCs w:val="24"/>
        </w:rPr>
        <w:t xml:space="preserve">godine, </w:t>
      </w:r>
      <w:r w:rsidR="00623760" w:rsidRPr="00EE1E03">
        <w:rPr>
          <w:rFonts w:cs="Arial"/>
          <w:color w:val="auto"/>
          <w:szCs w:val="24"/>
        </w:rPr>
        <w:t>o uvjetima za ulazak i boravak državljana trećih zemalja u svrhu zapošljavanja u sta</w:t>
      </w:r>
      <w:r w:rsidR="00F04C58">
        <w:rPr>
          <w:rFonts w:cs="Arial"/>
          <w:color w:val="auto"/>
          <w:szCs w:val="24"/>
        </w:rPr>
        <w:t>t</w:t>
      </w:r>
      <w:r w:rsidR="00623760" w:rsidRPr="00EE1E03">
        <w:rPr>
          <w:rFonts w:cs="Arial"/>
          <w:color w:val="auto"/>
          <w:szCs w:val="24"/>
        </w:rPr>
        <w:t>usu sezonskih radnika</w:t>
      </w:r>
      <w:r w:rsidR="00A60076">
        <w:rPr>
          <w:rFonts w:cs="Arial"/>
          <w:color w:val="auto"/>
          <w:szCs w:val="24"/>
        </w:rPr>
        <w:t>;</w:t>
      </w:r>
    </w:p>
    <w:p w14:paraId="43FFC62E" w14:textId="1C4129FF" w:rsidR="00623760"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 xml:space="preserve">Direktivom </w:t>
      </w:r>
      <w:r w:rsidR="00623760" w:rsidRPr="00EE1E03">
        <w:rPr>
          <w:rFonts w:cs="Arial"/>
          <w:color w:val="auto"/>
          <w:szCs w:val="24"/>
        </w:rPr>
        <w:t>2014/66</w:t>
      </w:r>
      <w:r w:rsidR="00623760" w:rsidRPr="00EE1E03">
        <w:rPr>
          <w:rFonts w:cs="Arial"/>
          <w:b/>
          <w:color w:val="auto"/>
          <w:szCs w:val="24"/>
        </w:rPr>
        <w:t>/</w:t>
      </w:r>
      <w:r w:rsidR="00623760" w:rsidRPr="00EE1E03">
        <w:rPr>
          <w:rFonts w:cs="Arial"/>
          <w:color w:val="auto"/>
          <w:szCs w:val="24"/>
        </w:rPr>
        <w:t>EU Evropskog parlamenta i Vijeća od 15. maja 2014.</w:t>
      </w:r>
      <w:r w:rsidR="00A60076">
        <w:rPr>
          <w:rFonts w:cs="Arial"/>
          <w:color w:val="auto"/>
          <w:szCs w:val="24"/>
        </w:rPr>
        <w:t xml:space="preserve"> godine,</w:t>
      </w:r>
      <w:r w:rsidR="00623760" w:rsidRPr="00EE1E03">
        <w:rPr>
          <w:rFonts w:cs="Arial"/>
          <w:color w:val="auto"/>
          <w:szCs w:val="24"/>
        </w:rPr>
        <w:t xml:space="preserve"> o uvjetima za ulazak i boravak državljana trećih zemalja u okviru premještaja unutar društva</w:t>
      </w:r>
      <w:r w:rsidR="00A60076">
        <w:rPr>
          <w:rFonts w:cs="Arial"/>
          <w:color w:val="auto"/>
          <w:szCs w:val="24"/>
        </w:rPr>
        <w:t>;</w:t>
      </w:r>
    </w:p>
    <w:p w14:paraId="4F9150C7" w14:textId="406B7432" w:rsidR="00623760" w:rsidRPr="00EE1E03" w:rsidRDefault="00623760" w:rsidP="00C8629E">
      <w:pPr>
        <w:numPr>
          <w:ilvl w:val="0"/>
          <w:numId w:val="27"/>
        </w:numPr>
        <w:spacing w:after="0" w:line="240" w:lineRule="auto"/>
        <w:ind w:right="0"/>
        <w:rPr>
          <w:rFonts w:cs="Arial"/>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Evropskog parlamenta i Vijeća (EZ-a) 562/2006 od 15. marta 2006. godine</w:t>
      </w:r>
      <w:r w:rsidR="00A60076">
        <w:rPr>
          <w:rFonts w:cs="Arial"/>
          <w:color w:val="auto"/>
          <w:szCs w:val="24"/>
        </w:rPr>
        <w:t>,</w:t>
      </w:r>
      <w:r w:rsidRPr="00EE1E03">
        <w:rPr>
          <w:rFonts w:cs="Arial"/>
          <w:color w:val="auto"/>
          <w:szCs w:val="24"/>
        </w:rPr>
        <w:t xml:space="preserve"> kojom se utvrđuje Kodeks Zajednice o pravilima za kretanje osoba preko granica (Šengenski kodeks o granicama)</w:t>
      </w:r>
      <w:r w:rsidR="00A60076">
        <w:rPr>
          <w:rFonts w:cs="Arial"/>
          <w:color w:val="auto"/>
          <w:szCs w:val="24"/>
        </w:rPr>
        <w:t>;</w:t>
      </w:r>
    </w:p>
    <w:p w14:paraId="14D4C13B" w14:textId="35F1247F" w:rsidR="00623760" w:rsidRPr="00EE1E03" w:rsidRDefault="00623760" w:rsidP="00C8629E">
      <w:pPr>
        <w:numPr>
          <w:ilvl w:val="0"/>
          <w:numId w:val="27"/>
        </w:numPr>
        <w:spacing w:after="0" w:line="240" w:lineRule="auto"/>
        <w:ind w:right="0"/>
        <w:rPr>
          <w:rFonts w:cs="Arial"/>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xml:space="preserve"> (EZ) br. 810/2009 Evropskoga Parlamenta i Vijeća od 13. jula 2009. godine</w:t>
      </w:r>
      <w:r w:rsidR="00A60076">
        <w:rPr>
          <w:rFonts w:cs="Arial"/>
          <w:color w:val="auto"/>
          <w:szCs w:val="24"/>
        </w:rPr>
        <w:t>,</w:t>
      </w:r>
      <w:r w:rsidRPr="00EE1E03">
        <w:rPr>
          <w:rFonts w:cs="Arial"/>
          <w:color w:val="auto"/>
          <w:szCs w:val="24"/>
        </w:rPr>
        <w:t xml:space="preserve"> kojom se uspostavlja Zakonik Zajednice o vizama</w:t>
      </w:r>
      <w:r w:rsidRPr="00EE1E03">
        <w:rPr>
          <w:rFonts w:cs="Arial"/>
          <w:i/>
          <w:iCs/>
          <w:color w:val="auto"/>
          <w:szCs w:val="24"/>
        </w:rPr>
        <w:t xml:space="preserve"> (</w:t>
      </w:r>
      <w:r w:rsidRPr="00EE1E03">
        <w:rPr>
          <w:rFonts w:cs="Arial"/>
          <w:color w:val="auto"/>
          <w:szCs w:val="24"/>
        </w:rPr>
        <w:t>Zakonik o vizama)</w:t>
      </w:r>
      <w:r w:rsidR="00A60076">
        <w:rPr>
          <w:rFonts w:cs="Arial"/>
          <w:color w:val="auto"/>
          <w:szCs w:val="24"/>
        </w:rPr>
        <w:t>;</w:t>
      </w:r>
      <w:r w:rsidRPr="00EE1E03">
        <w:rPr>
          <w:rFonts w:cs="Arial"/>
          <w:b/>
          <w:bCs/>
          <w:color w:val="auto"/>
          <w:szCs w:val="24"/>
        </w:rPr>
        <w:t xml:space="preserve"> </w:t>
      </w:r>
      <w:r w:rsidRPr="00EE1E03">
        <w:rPr>
          <w:rFonts w:cs="Arial"/>
          <w:color w:val="auto"/>
          <w:szCs w:val="24"/>
        </w:rPr>
        <w:t> </w:t>
      </w:r>
    </w:p>
    <w:p w14:paraId="7536F6DE" w14:textId="5F241C77" w:rsidR="00623760" w:rsidRPr="00EE1E03" w:rsidRDefault="00623760" w:rsidP="00C8629E">
      <w:pPr>
        <w:numPr>
          <w:ilvl w:val="0"/>
          <w:numId w:val="27"/>
        </w:numPr>
        <w:spacing w:after="0" w:line="240" w:lineRule="auto"/>
        <w:ind w:right="0"/>
        <w:rPr>
          <w:color w:val="auto"/>
          <w:szCs w:val="24"/>
        </w:rPr>
      </w:pPr>
      <w:r w:rsidRPr="00EE1E03">
        <w:rPr>
          <w:rFonts w:cs="Arial"/>
          <w:color w:val="auto"/>
          <w:szCs w:val="24"/>
        </w:rPr>
        <w:t>Uredb</w:t>
      </w:r>
      <w:r w:rsidR="00C8629E" w:rsidRPr="00EE1E03">
        <w:rPr>
          <w:rFonts w:cs="Arial"/>
          <w:color w:val="auto"/>
          <w:szCs w:val="24"/>
        </w:rPr>
        <w:t>om</w:t>
      </w:r>
      <w:r w:rsidRPr="00EE1E03">
        <w:rPr>
          <w:rFonts w:cs="Arial"/>
          <w:color w:val="auto"/>
          <w:szCs w:val="24"/>
        </w:rPr>
        <w:t xml:space="preserve"> (EU br. 610/2013 Evropskog parlamenta i Vijeća od 26. juna  2013</w:t>
      </w:r>
      <w:r w:rsidR="00A60076">
        <w:rPr>
          <w:rFonts w:cs="Arial"/>
          <w:color w:val="auto"/>
          <w:szCs w:val="24"/>
        </w:rPr>
        <w:t>. godine,</w:t>
      </w:r>
      <w:r w:rsidRPr="00EE1E03">
        <w:rPr>
          <w:rFonts w:cs="Arial"/>
          <w:color w:val="auto"/>
          <w:szCs w:val="24"/>
        </w:rPr>
        <w:t xml:space="preserve"> o izmjeni </w:t>
      </w:r>
      <w:r w:rsidR="00C8629E" w:rsidRPr="00EE1E03">
        <w:rPr>
          <w:rFonts w:cs="Arial"/>
          <w:color w:val="auto"/>
          <w:szCs w:val="24"/>
        </w:rPr>
        <w:t>Ured</w:t>
      </w:r>
      <w:r w:rsidR="00F04C58">
        <w:rPr>
          <w:rFonts w:cs="Arial"/>
          <w:color w:val="auto"/>
          <w:szCs w:val="24"/>
        </w:rPr>
        <w:t>b</w:t>
      </w:r>
      <w:r w:rsidR="00A60076">
        <w:rPr>
          <w:rFonts w:cs="Arial"/>
          <w:color w:val="auto"/>
          <w:szCs w:val="24"/>
        </w:rPr>
        <w:t>e</w:t>
      </w:r>
      <w:r w:rsidRPr="00EE1E03">
        <w:rPr>
          <w:rFonts w:cs="Arial"/>
          <w:color w:val="auto"/>
          <w:szCs w:val="24"/>
        </w:rPr>
        <w:t xml:space="preserve"> (EZ) br. 562/2006 Evropskog parlamenta i Vijeća o zakoniku zajednice o pravilima kojima se uređuje kretanje osoba preko granica (Zakonik o šengenskim granicama), Konvencije o provedbi Šengenskog sporazuma, uredaba Vijeća (EZ) br. 1683/95 i (EZ) br 539/2001 i uredaba (EZ) br.767/2008 i (EZ) br. 810/2009 Europskog parlamenta i Vijeća</w:t>
      </w:r>
      <w:r w:rsidR="00A60076">
        <w:rPr>
          <w:rFonts w:cs="Arial"/>
          <w:color w:val="auto"/>
          <w:szCs w:val="24"/>
        </w:rPr>
        <w:t>;</w:t>
      </w:r>
    </w:p>
    <w:p w14:paraId="124D0D88" w14:textId="0F75CD87" w:rsidR="00C8629E" w:rsidRPr="00EE1E03" w:rsidRDefault="00C8629E" w:rsidP="00C8629E">
      <w:pPr>
        <w:numPr>
          <w:ilvl w:val="0"/>
          <w:numId w:val="27"/>
        </w:numPr>
        <w:spacing w:after="0" w:line="240" w:lineRule="auto"/>
        <w:ind w:right="0"/>
        <w:rPr>
          <w:color w:val="auto"/>
          <w:szCs w:val="24"/>
        </w:rPr>
      </w:pPr>
      <w:r w:rsidRPr="00EE1E03">
        <w:rPr>
          <w:rFonts w:cs="Arial"/>
          <w:color w:val="auto"/>
          <w:szCs w:val="24"/>
        </w:rPr>
        <w:t>Uredbom Vijeća broj 2725/2000 od 11. decembra 2000. godine</w:t>
      </w:r>
      <w:r w:rsidR="00A60076">
        <w:rPr>
          <w:rFonts w:cs="Arial"/>
          <w:color w:val="auto"/>
          <w:szCs w:val="24"/>
        </w:rPr>
        <w:t>,</w:t>
      </w:r>
      <w:r w:rsidRPr="00EE1E03">
        <w:rPr>
          <w:rFonts w:cs="Arial"/>
          <w:color w:val="auto"/>
          <w:szCs w:val="24"/>
        </w:rPr>
        <w:t xml:space="preserve"> o uspostavi „EURODACA“ za usporedbu otisaka prstiju radi efikasne primjene Dablinske konvencije</w:t>
      </w:r>
      <w:r w:rsidR="00A60076">
        <w:rPr>
          <w:color w:val="auto"/>
          <w:szCs w:val="24"/>
        </w:rPr>
        <w:t>;</w:t>
      </w:r>
      <w:r w:rsidRPr="00EE1E03">
        <w:rPr>
          <w:color w:val="auto"/>
          <w:szCs w:val="24"/>
        </w:rPr>
        <w:t xml:space="preserve"> </w:t>
      </w:r>
    </w:p>
    <w:p w14:paraId="310CD3A7" w14:textId="5738B3D5" w:rsidR="00C8629E" w:rsidRPr="00EE1E03" w:rsidRDefault="00C8629E" w:rsidP="00C8629E">
      <w:pPr>
        <w:numPr>
          <w:ilvl w:val="0"/>
          <w:numId w:val="27"/>
        </w:numPr>
        <w:spacing w:after="0" w:line="240" w:lineRule="auto"/>
        <w:ind w:right="0"/>
        <w:rPr>
          <w:rFonts w:cs="Arial"/>
          <w:color w:val="auto"/>
          <w:szCs w:val="24"/>
        </w:rPr>
      </w:pPr>
      <w:r w:rsidRPr="00EE1E03">
        <w:rPr>
          <w:rFonts w:cs="Arial"/>
          <w:color w:val="auto"/>
          <w:szCs w:val="24"/>
        </w:rPr>
        <w:t>Uredbom (EZ) broj 810/2009 Evropskog parlamenta i Vijeća od 13. jula 2009. godine</w:t>
      </w:r>
      <w:r w:rsidR="00A60076">
        <w:rPr>
          <w:rFonts w:cs="Arial"/>
          <w:color w:val="auto"/>
          <w:szCs w:val="24"/>
        </w:rPr>
        <w:t>,</w:t>
      </w:r>
      <w:r w:rsidRPr="00EE1E03">
        <w:rPr>
          <w:rFonts w:cs="Arial"/>
          <w:color w:val="auto"/>
          <w:szCs w:val="24"/>
        </w:rPr>
        <w:t xml:space="preserve"> o uspostavljanju Zakonika Zajednice o vizama (Zakonik o vizama)</w:t>
      </w:r>
      <w:r w:rsidR="00A60076">
        <w:rPr>
          <w:rFonts w:cs="Arial"/>
          <w:color w:val="auto"/>
          <w:szCs w:val="24"/>
        </w:rPr>
        <w:t>;</w:t>
      </w:r>
    </w:p>
    <w:p w14:paraId="54207ED0" w14:textId="4446B1E6" w:rsidR="00C8629E" w:rsidRPr="00EE1E03" w:rsidRDefault="00C8629E" w:rsidP="00C8629E">
      <w:pPr>
        <w:numPr>
          <w:ilvl w:val="0"/>
          <w:numId w:val="27"/>
        </w:numPr>
        <w:spacing w:after="0" w:line="240" w:lineRule="auto"/>
        <w:ind w:right="0"/>
        <w:rPr>
          <w:rFonts w:cs="Arial"/>
          <w:b/>
          <w:bCs/>
          <w:color w:val="auto"/>
          <w:szCs w:val="24"/>
        </w:rPr>
      </w:pPr>
      <w:r w:rsidRPr="00EE1E03">
        <w:rPr>
          <w:rFonts w:cs="Arial"/>
          <w:bCs/>
          <w:color w:val="auto"/>
          <w:lang w:val="it-IT"/>
        </w:rPr>
        <w:t xml:space="preserve">Uredbom Vijeća (EK) broj 380/2008 od 18. aprila 2008. </w:t>
      </w:r>
      <w:r w:rsidR="00A60076">
        <w:rPr>
          <w:rFonts w:cs="Arial"/>
          <w:bCs/>
          <w:color w:val="auto"/>
          <w:lang w:val="it-IT"/>
        </w:rPr>
        <w:t>g</w:t>
      </w:r>
      <w:r w:rsidRPr="00EE1E03">
        <w:rPr>
          <w:rFonts w:cs="Arial"/>
          <w:bCs/>
          <w:color w:val="auto"/>
          <w:lang w:val="it-IT"/>
        </w:rPr>
        <w:t>odine</w:t>
      </w:r>
      <w:r w:rsidR="00A60076">
        <w:rPr>
          <w:rFonts w:cs="Arial"/>
          <w:bCs/>
          <w:color w:val="auto"/>
          <w:lang w:val="it-IT"/>
        </w:rPr>
        <w:t>,</w:t>
      </w:r>
      <w:r w:rsidRPr="00EE1E03">
        <w:rPr>
          <w:rFonts w:cs="Arial"/>
          <w:bCs/>
          <w:color w:val="auto"/>
          <w:lang w:val="it-IT"/>
        </w:rPr>
        <w:t xml:space="preserve"> kojom se dopunjava Uredb</w:t>
      </w:r>
      <w:r w:rsidR="00A60076">
        <w:rPr>
          <w:rFonts w:cs="Arial"/>
          <w:bCs/>
          <w:color w:val="auto"/>
          <w:lang w:val="it-IT"/>
        </w:rPr>
        <w:t>a</w:t>
      </w:r>
      <w:r w:rsidRPr="00EE1E03">
        <w:rPr>
          <w:rFonts w:cs="Arial"/>
          <w:bCs/>
          <w:color w:val="auto"/>
          <w:lang w:val="it-IT"/>
        </w:rPr>
        <w:t xml:space="preserve"> (EK) broj 1030/2002 o uspostavljanju jedinstvenog formata boravišnih dozvola za državljane trećih zemalja.</w:t>
      </w:r>
    </w:p>
    <w:p w14:paraId="58A98926" w14:textId="77777777" w:rsidR="00623760" w:rsidRPr="00EE1E03" w:rsidRDefault="00623760" w:rsidP="0015094B">
      <w:pPr>
        <w:spacing w:after="0" w:line="240" w:lineRule="auto"/>
        <w:ind w:right="0"/>
        <w:rPr>
          <w:color w:val="auto"/>
          <w:szCs w:val="24"/>
        </w:rPr>
      </w:pPr>
    </w:p>
    <w:p w14:paraId="229D4CE6" w14:textId="73CCD2D3" w:rsidR="00A074FB" w:rsidRPr="00EE1E03" w:rsidRDefault="00A074FB" w:rsidP="0015094B">
      <w:pPr>
        <w:spacing w:after="0" w:line="240" w:lineRule="auto"/>
        <w:ind w:right="0"/>
        <w:rPr>
          <w:b/>
          <w:color w:val="auto"/>
          <w:szCs w:val="24"/>
        </w:rPr>
      </w:pPr>
      <w:r w:rsidRPr="00EE1E03">
        <w:rPr>
          <w:b/>
          <w:color w:val="auto"/>
          <w:szCs w:val="24"/>
        </w:rPr>
        <w:t xml:space="preserve">Boravak stranaca </w:t>
      </w:r>
      <w:r w:rsidR="0035719B" w:rsidRPr="00EE1E03">
        <w:rPr>
          <w:b/>
          <w:color w:val="auto"/>
          <w:szCs w:val="24"/>
        </w:rPr>
        <w:t xml:space="preserve">koji </w:t>
      </w:r>
      <w:r w:rsidRPr="00EE1E03">
        <w:rPr>
          <w:b/>
          <w:color w:val="auto"/>
          <w:szCs w:val="24"/>
        </w:rPr>
        <w:t>u B</w:t>
      </w:r>
      <w:r w:rsidR="0053449C">
        <w:rPr>
          <w:b/>
          <w:color w:val="auto"/>
          <w:szCs w:val="24"/>
        </w:rPr>
        <w:t xml:space="preserve">osni </w:t>
      </w:r>
      <w:r w:rsidRPr="00EE1E03">
        <w:rPr>
          <w:b/>
          <w:color w:val="auto"/>
          <w:szCs w:val="24"/>
        </w:rPr>
        <w:t>i</w:t>
      </w:r>
      <w:r w:rsidR="0053449C">
        <w:rPr>
          <w:b/>
          <w:color w:val="auto"/>
          <w:szCs w:val="24"/>
        </w:rPr>
        <w:t xml:space="preserve"> </w:t>
      </w:r>
      <w:r w:rsidRPr="00EE1E03">
        <w:rPr>
          <w:b/>
          <w:color w:val="auto"/>
          <w:szCs w:val="24"/>
        </w:rPr>
        <w:t>H</w:t>
      </w:r>
      <w:r w:rsidR="0053449C">
        <w:rPr>
          <w:b/>
          <w:color w:val="auto"/>
          <w:szCs w:val="24"/>
        </w:rPr>
        <w:t>ercegovini</w:t>
      </w:r>
      <w:r w:rsidR="0035719B" w:rsidRPr="00EE1E03">
        <w:rPr>
          <w:b/>
          <w:color w:val="auto"/>
          <w:szCs w:val="24"/>
        </w:rPr>
        <w:t xml:space="preserve"> namjeravaju da rade</w:t>
      </w:r>
    </w:p>
    <w:p w14:paraId="7AFF6339" w14:textId="77777777" w:rsidR="00623760" w:rsidRPr="00EE1E03" w:rsidRDefault="00623760" w:rsidP="0015094B">
      <w:pPr>
        <w:spacing w:after="0" w:line="240" w:lineRule="auto"/>
        <w:ind w:right="0"/>
        <w:rPr>
          <w:color w:val="auto"/>
          <w:szCs w:val="24"/>
        </w:rPr>
      </w:pPr>
    </w:p>
    <w:p w14:paraId="30F51FBE" w14:textId="4AE02972" w:rsidR="007F1E25" w:rsidRPr="00EE1E03" w:rsidRDefault="00AA4D2E" w:rsidP="007F1E25">
      <w:pPr>
        <w:spacing w:after="0" w:line="240" w:lineRule="auto"/>
        <w:ind w:right="0"/>
        <w:rPr>
          <w:color w:val="auto"/>
          <w:szCs w:val="24"/>
        </w:rPr>
      </w:pPr>
      <w:r w:rsidRPr="00EE1E03">
        <w:rPr>
          <w:color w:val="auto"/>
          <w:szCs w:val="24"/>
        </w:rPr>
        <w:t>S</w:t>
      </w:r>
      <w:r w:rsidR="008B58F0" w:rsidRPr="00EE1E03">
        <w:rPr>
          <w:color w:val="auto"/>
          <w:szCs w:val="24"/>
        </w:rPr>
        <w:t xml:space="preserve">tranci </w:t>
      </w:r>
      <w:r w:rsidR="001843D2" w:rsidRPr="00EE1E03">
        <w:rPr>
          <w:color w:val="auto"/>
          <w:szCs w:val="24"/>
        </w:rPr>
        <w:t>koji u BiH namjeravaju da rade,</w:t>
      </w:r>
      <w:r w:rsidRPr="00EE1E03">
        <w:rPr>
          <w:color w:val="auto"/>
          <w:szCs w:val="24"/>
        </w:rPr>
        <w:t xml:space="preserve"> u BiH</w:t>
      </w:r>
      <w:r w:rsidR="008B58F0" w:rsidRPr="00EE1E03">
        <w:rPr>
          <w:color w:val="auto"/>
          <w:szCs w:val="24"/>
        </w:rPr>
        <w:t xml:space="preserve"> mogu boraviti na osnovu vize, bezviznog, privremenog i</w:t>
      </w:r>
      <w:r w:rsidR="00BC7803" w:rsidRPr="00EE1E03">
        <w:rPr>
          <w:color w:val="auto"/>
          <w:szCs w:val="24"/>
        </w:rPr>
        <w:t>li</w:t>
      </w:r>
      <w:r w:rsidR="008B58F0" w:rsidRPr="00EE1E03">
        <w:rPr>
          <w:color w:val="auto"/>
          <w:szCs w:val="24"/>
        </w:rPr>
        <w:t xml:space="preserve"> stalnog boravka. </w:t>
      </w:r>
      <w:r w:rsidR="007F1E25" w:rsidRPr="00EE1E03">
        <w:rPr>
          <w:color w:val="auto"/>
          <w:szCs w:val="24"/>
        </w:rPr>
        <w:t xml:space="preserve">Vizni boravak je boravak stranca u BiH u periodu koji je naveden u vizi.  Bezvizni boravak je boravak u BiH stranca koji dolazi iz države bezviznog režima u trajanju ukupno do 90 dana u bilo kojem periodu od 180 dana. Privremeni boravak je boravak stranca u BiH u trajanju do jedne godine, ako dozvolom boravka nije drugačije određeno. Stalni boravak je boravak stranca u BiH u neograničenom trajanju.  </w:t>
      </w:r>
    </w:p>
    <w:p w14:paraId="2F0C4718" w14:textId="77777777" w:rsidR="00F84C8D" w:rsidRPr="00EE1E03" w:rsidRDefault="00F84C8D" w:rsidP="007F1E25">
      <w:pPr>
        <w:spacing w:after="0" w:line="240" w:lineRule="auto"/>
        <w:ind w:right="0"/>
        <w:rPr>
          <w:color w:val="auto"/>
          <w:szCs w:val="24"/>
        </w:rPr>
      </w:pPr>
    </w:p>
    <w:p w14:paraId="5B868393" w14:textId="188EBDB1" w:rsidR="00F84C8D" w:rsidRPr="00EE1E03" w:rsidRDefault="00930892" w:rsidP="00DB312A">
      <w:pPr>
        <w:spacing w:after="0" w:line="240" w:lineRule="auto"/>
        <w:ind w:left="11"/>
        <w:rPr>
          <w:color w:val="auto"/>
          <w:lang w:val="sr-Latn-CS"/>
        </w:rPr>
      </w:pPr>
      <w:r w:rsidRPr="00EE1E03">
        <w:rPr>
          <w:color w:val="auto"/>
          <w:lang w:val="sr-Latn-CS"/>
        </w:rPr>
        <w:t xml:space="preserve">Strancima koji namjeravaju da rade u BiH </w:t>
      </w:r>
      <w:r w:rsidR="00F84C8D" w:rsidRPr="00EE1E03">
        <w:rPr>
          <w:color w:val="auto"/>
          <w:lang w:val="sr-Latn-CS"/>
        </w:rPr>
        <w:t xml:space="preserve">privremeni boravak se može odobriti po osnovu rada s radnom dozvolom i </w:t>
      </w:r>
      <w:r w:rsidR="006A5C71" w:rsidRPr="00EE1E03">
        <w:rPr>
          <w:color w:val="auto"/>
          <w:lang w:val="sr-Latn-CS"/>
        </w:rPr>
        <w:t xml:space="preserve">po osnovu </w:t>
      </w:r>
      <w:r w:rsidR="00F84C8D" w:rsidRPr="00EE1E03">
        <w:rPr>
          <w:color w:val="auto"/>
          <w:lang w:val="sr-Latn-CS"/>
        </w:rPr>
        <w:t xml:space="preserve">rada bez radne dozvole. </w:t>
      </w:r>
      <w:r w:rsidR="006A5C71" w:rsidRPr="00EE1E03">
        <w:rPr>
          <w:color w:val="auto"/>
          <w:lang w:val="sr-Latn-CS"/>
        </w:rPr>
        <w:t>Također, s</w:t>
      </w:r>
      <w:r w:rsidR="00F84C8D" w:rsidRPr="00EE1E03">
        <w:rPr>
          <w:color w:val="auto"/>
          <w:lang w:val="sr-Latn-CS"/>
        </w:rPr>
        <w:t>tranci koji u BiH borave po osnovu viznog, bezviznog ili prethodno odobrenog privremenog boravka mogu raditi u BiH bez radne dozvole uz prethodno pribavljenu potvrdu o prijavi rada.</w:t>
      </w:r>
    </w:p>
    <w:p w14:paraId="0510407C" w14:textId="77777777" w:rsidR="00F84C8D" w:rsidRPr="007F1E25" w:rsidRDefault="00F84C8D" w:rsidP="00DB312A">
      <w:pPr>
        <w:spacing w:after="0" w:line="240" w:lineRule="auto"/>
        <w:ind w:left="11" w:right="0"/>
        <w:rPr>
          <w:color w:val="FF0000"/>
          <w:szCs w:val="24"/>
        </w:rPr>
      </w:pPr>
    </w:p>
    <w:p w14:paraId="41F8CA31" w14:textId="391066A2" w:rsidR="00D90C3E" w:rsidRPr="00BE522D" w:rsidRDefault="00CB5C9E" w:rsidP="00DB312A">
      <w:pPr>
        <w:spacing w:after="0" w:line="240" w:lineRule="auto"/>
        <w:ind w:left="11" w:firstLine="0"/>
        <w:rPr>
          <w:b/>
          <w:color w:val="auto"/>
          <w:szCs w:val="24"/>
        </w:rPr>
      </w:pPr>
      <w:r w:rsidRPr="00BE522D">
        <w:rPr>
          <w:b/>
          <w:color w:val="auto"/>
          <w:szCs w:val="24"/>
        </w:rPr>
        <w:t>Privremeni boravak po osnovu rada sa radnom dozvolom</w:t>
      </w:r>
    </w:p>
    <w:p w14:paraId="2AF45D66" w14:textId="77777777" w:rsidR="001843D2" w:rsidRPr="00BE522D" w:rsidRDefault="001843D2" w:rsidP="00DB312A">
      <w:pPr>
        <w:spacing w:after="0" w:line="240" w:lineRule="auto"/>
        <w:ind w:left="11" w:firstLine="0"/>
        <w:rPr>
          <w:b/>
          <w:color w:val="auto"/>
          <w:szCs w:val="24"/>
        </w:rPr>
      </w:pPr>
    </w:p>
    <w:p w14:paraId="671E39C9" w14:textId="1F90A21B" w:rsidR="00E05B0C" w:rsidRPr="00BE522D" w:rsidRDefault="00E05B0C" w:rsidP="00DB312A">
      <w:pPr>
        <w:spacing w:after="0" w:line="240" w:lineRule="auto"/>
        <w:ind w:left="11" w:right="0"/>
        <w:rPr>
          <w:color w:val="auto"/>
          <w:szCs w:val="24"/>
        </w:rPr>
      </w:pPr>
      <w:r w:rsidRPr="00BE522D">
        <w:rPr>
          <w:color w:val="auto"/>
        </w:rPr>
        <w:t xml:space="preserve">Privremeni boravak po osnovu rada sa radnom dozvolom, na zahtjev stranaca, odobrava Služba za poslove sa strancima i </w:t>
      </w:r>
      <w:r w:rsidRPr="00BE522D">
        <w:rPr>
          <w:color w:val="auto"/>
          <w:szCs w:val="24"/>
        </w:rPr>
        <w:t>odobrava se na period važenja radne dozvole, ali ne duže od jedne godine i može se produžiti pod istim uslovima pod kojim je boravak odobren.</w:t>
      </w:r>
    </w:p>
    <w:p w14:paraId="640C3759" w14:textId="77777777" w:rsidR="006D458E" w:rsidRPr="00BE522D" w:rsidRDefault="006D458E" w:rsidP="00336005">
      <w:pPr>
        <w:spacing w:after="0" w:line="240" w:lineRule="auto"/>
        <w:ind w:right="0"/>
        <w:rPr>
          <w:color w:val="auto"/>
          <w:szCs w:val="24"/>
        </w:rPr>
      </w:pPr>
    </w:p>
    <w:p w14:paraId="7B2CCC4A" w14:textId="7C5BBA52" w:rsidR="00336005" w:rsidRPr="00BE522D" w:rsidRDefault="006D458E" w:rsidP="00336005">
      <w:pPr>
        <w:spacing w:after="0" w:line="240" w:lineRule="auto"/>
        <w:ind w:right="0"/>
        <w:rPr>
          <w:color w:val="auto"/>
        </w:rPr>
      </w:pPr>
      <w:r w:rsidRPr="00BE522D">
        <w:rPr>
          <w:color w:val="auto"/>
        </w:rPr>
        <w:t xml:space="preserve">Stranac </w:t>
      </w:r>
      <w:r w:rsidRPr="00BE522D">
        <w:rPr>
          <w:color w:val="auto"/>
          <w:szCs w:val="24"/>
        </w:rPr>
        <w:t>mora imati radnu dozvolu prije ulaska u B</w:t>
      </w:r>
      <w:r w:rsidR="003D7638">
        <w:rPr>
          <w:color w:val="auto"/>
          <w:szCs w:val="24"/>
        </w:rPr>
        <w:t xml:space="preserve">osnu </w:t>
      </w:r>
      <w:r w:rsidRPr="00BE522D">
        <w:rPr>
          <w:color w:val="auto"/>
          <w:szCs w:val="24"/>
        </w:rPr>
        <w:t>i</w:t>
      </w:r>
      <w:r w:rsidR="003D7638">
        <w:rPr>
          <w:color w:val="auto"/>
          <w:szCs w:val="24"/>
        </w:rPr>
        <w:t xml:space="preserve"> </w:t>
      </w:r>
      <w:r w:rsidRPr="00BE522D">
        <w:rPr>
          <w:color w:val="auto"/>
          <w:szCs w:val="24"/>
        </w:rPr>
        <w:t>H</w:t>
      </w:r>
      <w:r w:rsidR="003D7638">
        <w:rPr>
          <w:color w:val="auto"/>
          <w:szCs w:val="24"/>
        </w:rPr>
        <w:t>ercegovinu</w:t>
      </w:r>
      <w:r w:rsidRPr="00BE522D">
        <w:rPr>
          <w:color w:val="auto"/>
          <w:szCs w:val="24"/>
        </w:rPr>
        <w:t xml:space="preserve"> i </w:t>
      </w:r>
      <w:r w:rsidR="00306118" w:rsidRPr="00BE522D">
        <w:rPr>
          <w:color w:val="auto"/>
          <w:szCs w:val="24"/>
        </w:rPr>
        <w:t>ne može početi raditi na osnovu radne dozvole prije nego što mu je odobren privremeni borava</w:t>
      </w:r>
      <w:r w:rsidRPr="00BE522D">
        <w:rPr>
          <w:color w:val="auto"/>
          <w:szCs w:val="24"/>
        </w:rPr>
        <w:t>k</w:t>
      </w:r>
      <w:r w:rsidR="00306118" w:rsidRPr="00BE522D">
        <w:rPr>
          <w:color w:val="auto"/>
          <w:szCs w:val="24"/>
        </w:rPr>
        <w:t>. </w:t>
      </w:r>
      <w:r w:rsidR="00336005" w:rsidRPr="00BE522D">
        <w:rPr>
          <w:color w:val="auto"/>
        </w:rPr>
        <w:t xml:space="preserve">U smislu Zakona o strancima </w:t>
      </w:r>
      <w:r w:rsidR="00336005" w:rsidRPr="00BE522D">
        <w:rPr>
          <w:color w:val="auto"/>
          <w:szCs w:val="24"/>
        </w:rPr>
        <w:t>radna dozvola je dozvola koju izdaje organ nadležan za poslove zapošljavanja stranaca, a kojom se dozvoljava plaćeni rad stranca u Bi</w:t>
      </w:r>
      <w:r w:rsidR="00B17598">
        <w:rPr>
          <w:color w:val="auto"/>
          <w:szCs w:val="24"/>
        </w:rPr>
        <w:t>H</w:t>
      </w:r>
      <w:r w:rsidR="00336005" w:rsidRPr="00BE522D">
        <w:rPr>
          <w:color w:val="auto"/>
          <w:szCs w:val="24"/>
        </w:rPr>
        <w:t>.</w:t>
      </w:r>
      <w:r w:rsidR="00336005" w:rsidRPr="00BE522D">
        <w:rPr>
          <w:color w:val="auto"/>
        </w:rPr>
        <w:t xml:space="preserve"> </w:t>
      </w:r>
      <w:r w:rsidR="00BE1EDF" w:rsidRPr="00BE522D">
        <w:rPr>
          <w:color w:val="auto"/>
        </w:rPr>
        <w:t xml:space="preserve">Radna dozvola se izdaje na zahtjev </w:t>
      </w:r>
      <w:r w:rsidR="00BE1EDF" w:rsidRPr="00BE522D">
        <w:rPr>
          <w:color w:val="auto"/>
        </w:rPr>
        <w:lastRenderedPageBreak/>
        <w:t xml:space="preserve">pravnog ili fizičkog lica (poslodavca) koje namjerava zaposliti stranca. Zavisno od mjesta prebivališta, odnosno sjedišta poslodavca, radnu dozvolu izdaje organ nadležan za poslove zapošljavanja stranaca u Federaciji Bosne i Hercegovine, Republike Srpske ili Brčko </w:t>
      </w:r>
      <w:r w:rsidR="006143F0">
        <w:rPr>
          <w:color w:val="auto"/>
        </w:rPr>
        <w:t xml:space="preserve">Distrikta </w:t>
      </w:r>
      <w:r w:rsidR="00B17598">
        <w:rPr>
          <w:color w:val="auto"/>
        </w:rPr>
        <w:t xml:space="preserve">BiH </w:t>
      </w:r>
      <w:r w:rsidR="00630DC6" w:rsidRPr="00BE522D">
        <w:rPr>
          <w:color w:val="auto"/>
          <w:szCs w:val="24"/>
        </w:rPr>
        <w:t>u skladu s odredbama ovog i drugih zakona u B</w:t>
      </w:r>
      <w:r w:rsidR="00B17598">
        <w:rPr>
          <w:color w:val="auto"/>
          <w:szCs w:val="24"/>
        </w:rPr>
        <w:t>iH</w:t>
      </w:r>
      <w:r w:rsidR="00630DC6" w:rsidRPr="00BE522D">
        <w:rPr>
          <w:color w:val="auto"/>
          <w:szCs w:val="24"/>
        </w:rPr>
        <w:t xml:space="preserve"> kojima se reguli</w:t>
      </w:r>
      <w:r w:rsidR="000C5BFF" w:rsidRPr="00BE522D">
        <w:rPr>
          <w:color w:val="auto"/>
          <w:szCs w:val="24"/>
        </w:rPr>
        <w:t>šu</w:t>
      </w:r>
      <w:r w:rsidR="00630DC6" w:rsidRPr="00BE522D">
        <w:rPr>
          <w:color w:val="auto"/>
          <w:szCs w:val="24"/>
        </w:rPr>
        <w:t xml:space="preserve"> pitanja rada stranaca, osim kad je ovim zakonom ili međunarodnim ugovorom čija je BiH ugovorna strana određeno da za pojedine vrste rada nije potrebna radna dozvola.</w:t>
      </w:r>
      <w:r w:rsidR="00BE1EDF" w:rsidRPr="00BE522D">
        <w:rPr>
          <w:color w:val="auto"/>
        </w:rPr>
        <w:t xml:space="preserve"> Radna dozvola izdaje se za određeno radno mjesto, odnosno za određenu vrstu poslova i ne može se izdati s rokom važenja dužim od jedne godine. </w:t>
      </w:r>
    </w:p>
    <w:p w14:paraId="2F1E5E00" w14:textId="77777777" w:rsidR="00EC673F" w:rsidRPr="00BE522D" w:rsidRDefault="00EC673F" w:rsidP="00336005">
      <w:pPr>
        <w:spacing w:after="0" w:line="240" w:lineRule="auto"/>
        <w:ind w:right="0"/>
        <w:rPr>
          <w:color w:val="auto"/>
        </w:rPr>
      </w:pPr>
    </w:p>
    <w:p w14:paraId="0F97995C" w14:textId="5A338E87" w:rsidR="00390DC5" w:rsidRPr="00BE522D" w:rsidRDefault="00390DC5" w:rsidP="00390DC5">
      <w:pPr>
        <w:ind w:firstLine="0"/>
        <w:rPr>
          <w:b/>
          <w:color w:val="auto"/>
          <w:szCs w:val="24"/>
        </w:rPr>
      </w:pPr>
      <w:r w:rsidRPr="00BE522D">
        <w:rPr>
          <w:b/>
          <w:color w:val="auto"/>
          <w:szCs w:val="24"/>
        </w:rPr>
        <w:t>Privremeni boravak po osnovu rada bez radne dozvole</w:t>
      </w:r>
    </w:p>
    <w:p w14:paraId="4F000265" w14:textId="77777777" w:rsidR="00390DC5" w:rsidRPr="00BE522D" w:rsidRDefault="00390DC5" w:rsidP="00353ADE">
      <w:pPr>
        <w:ind w:firstLine="0"/>
        <w:rPr>
          <w:color w:val="auto"/>
          <w:szCs w:val="24"/>
        </w:rPr>
      </w:pPr>
    </w:p>
    <w:p w14:paraId="151D58FA" w14:textId="69E1F82E" w:rsidR="00A8557C" w:rsidRPr="00BE522D" w:rsidRDefault="00B70AC5" w:rsidP="00B70AC5">
      <w:pPr>
        <w:rPr>
          <w:bCs/>
          <w:color w:val="auto"/>
          <w:szCs w:val="24"/>
        </w:rPr>
      </w:pPr>
      <w:r w:rsidRPr="00BE522D">
        <w:rPr>
          <w:color w:val="auto"/>
        </w:rPr>
        <w:t xml:space="preserve">Ako se radi o poslovima za koje nije potrebna radna dozvola, strancu se može odobriti privremeni boravak po osnovu rada bez radne dozvole. </w:t>
      </w:r>
      <w:r w:rsidR="00A8557C" w:rsidRPr="00BE522D">
        <w:rPr>
          <w:bCs/>
          <w:color w:val="auto"/>
          <w:szCs w:val="24"/>
        </w:rPr>
        <w:t>Privremeni boravak po osnovu rada bez radne dozvole može se odobriti u svrhu:</w:t>
      </w:r>
    </w:p>
    <w:p w14:paraId="21EB3CE6" w14:textId="78235B51" w:rsidR="00A8557C" w:rsidRPr="00BE522D" w:rsidRDefault="00A8557C" w:rsidP="00A8557C">
      <w:pPr>
        <w:pStyle w:val="ListParagraph"/>
        <w:numPr>
          <w:ilvl w:val="0"/>
          <w:numId w:val="22"/>
        </w:numPr>
        <w:spacing w:after="0" w:line="240" w:lineRule="auto"/>
        <w:ind w:right="57"/>
        <w:jc w:val="left"/>
        <w:rPr>
          <w:color w:val="auto"/>
          <w:szCs w:val="24"/>
        </w:rPr>
      </w:pPr>
      <w:r w:rsidRPr="00BE522D">
        <w:rPr>
          <w:color w:val="auto"/>
          <w:szCs w:val="24"/>
        </w:rPr>
        <w:t>visokokvalificiranog zapošljavanja (tzv. plava karta),</w:t>
      </w:r>
    </w:p>
    <w:p w14:paraId="0E1D6DBC" w14:textId="698B1B86" w:rsidR="00A8557C" w:rsidRPr="00BE522D" w:rsidRDefault="00A8557C" w:rsidP="00A8557C">
      <w:pPr>
        <w:pStyle w:val="ListParagraph"/>
        <w:numPr>
          <w:ilvl w:val="0"/>
          <w:numId w:val="22"/>
        </w:numPr>
        <w:spacing w:after="0" w:line="240" w:lineRule="auto"/>
        <w:ind w:right="57"/>
        <w:jc w:val="left"/>
        <w:rPr>
          <w:color w:val="auto"/>
          <w:szCs w:val="24"/>
        </w:rPr>
      </w:pPr>
      <w:r w:rsidRPr="00BE522D">
        <w:rPr>
          <w:color w:val="auto"/>
          <w:szCs w:val="24"/>
        </w:rPr>
        <w:t>premještaja unutar pravnog lica,</w:t>
      </w:r>
    </w:p>
    <w:p w14:paraId="2CA28ABD" w14:textId="2536B9BF" w:rsidR="00A8557C" w:rsidRPr="00BE522D" w:rsidRDefault="00A8557C" w:rsidP="00A8557C">
      <w:pPr>
        <w:pStyle w:val="ListParagraph"/>
        <w:numPr>
          <w:ilvl w:val="0"/>
          <w:numId w:val="22"/>
        </w:numPr>
        <w:spacing w:after="0" w:line="240" w:lineRule="auto"/>
        <w:ind w:right="57"/>
        <w:jc w:val="left"/>
        <w:rPr>
          <w:iCs/>
          <w:color w:val="auto"/>
          <w:szCs w:val="24"/>
        </w:rPr>
      </w:pPr>
      <w:r w:rsidRPr="00BE522D">
        <w:rPr>
          <w:iCs/>
          <w:color w:val="auto"/>
          <w:szCs w:val="24"/>
        </w:rPr>
        <w:t xml:space="preserve">naučnog istraživanja ili </w:t>
      </w:r>
    </w:p>
    <w:p w14:paraId="16E99881" w14:textId="4010AEE6" w:rsidR="00A8557C" w:rsidRPr="00BE522D" w:rsidRDefault="00A8557C" w:rsidP="00A8557C">
      <w:pPr>
        <w:pStyle w:val="ListParagraph"/>
        <w:numPr>
          <w:ilvl w:val="0"/>
          <w:numId w:val="22"/>
        </w:numPr>
        <w:spacing w:after="0" w:line="240" w:lineRule="auto"/>
        <w:ind w:right="57"/>
        <w:jc w:val="left"/>
        <w:rPr>
          <w:iCs/>
          <w:color w:val="auto"/>
          <w:szCs w:val="24"/>
        </w:rPr>
      </w:pPr>
      <w:r w:rsidRPr="00BE522D">
        <w:rPr>
          <w:color w:val="auto"/>
          <w:szCs w:val="24"/>
        </w:rPr>
        <w:t>rada bez radne dozvole s potvrdom o prijavi rada.</w:t>
      </w:r>
    </w:p>
    <w:p w14:paraId="4E68CF68" w14:textId="77777777" w:rsidR="00390DC5" w:rsidRPr="00097D48" w:rsidRDefault="00390DC5" w:rsidP="00353ADE">
      <w:pPr>
        <w:ind w:firstLine="0"/>
        <w:rPr>
          <w:color w:val="FF0000"/>
          <w:szCs w:val="24"/>
        </w:rPr>
      </w:pPr>
    </w:p>
    <w:p w14:paraId="2A6A91C9" w14:textId="4E4B7801" w:rsidR="00B70AC5" w:rsidRPr="00AD4B99" w:rsidRDefault="0015094B" w:rsidP="00C65E17">
      <w:pPr>
        <w:spacing w:after="0" w:line="240" w:lineRule="auto"/>
        <w:ind w:left="11" w:right="28"/>
        <w:rPr>
          <w:rFonts w:eastAsia="Calibri"/>
          <w:color w:val="auto"/>
        </w:rPr>
      </w:pPr>
      <w:r w:rsidRPr="00AD4B99">
        <w:rPr>
          <w:color w:val="auto"/>
          <w:szCs w:val="24"/>
        </w:rPr>
        <w:t>Određene poslove stranci mogu obavljati i kada u BiH borave po osnovu viznog ili bezviznog boravka i to bez radne dozvole, ali uz prethodno pribavljenu potvrdu o prijavi rada</w:t>
      </w:r>
      <w:r w:rsidR="00B84276" w:rsidRPr="00AD4B99">
        <w:rPr>
          <w:color w:val="auto"/>
          <w:szCs w:val="24"/>
        </w:rPr>
        <w:t xml:space="preserve"> („Rad bez radne dozvole s potvrdom o prijavi rada“)</w:t>
      </w:r>
      <w:r w:rsidRPr="00AD4B99">
        <w:rPr>
          <w:color w:val="auto"/>
          <w:szCs w:val="24"/>
        </w:rPr>
        <w:t xml:space="preserve">. </w:t>
      </w:r>
      <w:r w:rsidR="00B84276" w:rsidRPr="00AD4B99">
        <w:rPr>
          <w:color w:val="auto"/>
          <w:szCs w:val="24"/>
        </w:rPr>
        <w:t xml:space="preserve">Kategorije stranaca koji mogu raditi u BiH sa potvrdom o prijavi rada </w:t>
      </w:r>
      <w:r w:rsidR="00B70AC5" w:rsidRPr="00AD4B99">
        <w:rPr>
          <w:color w:val="auto"/>
          <w:szCs w:val="24"/>
        </w:rPr>
        <w:t xml:space="preserve">definisani su članom 77. Zakona o strancima. </w:t>
      </w:r>
      <w:r w:rsidR="00B70AC5" w:rsidRPr="00AD4B99">
        <w:rPr>
          <w:rFonts w:eastAsia="Calibri"/>
          <w:color w:val="auto"/>
        </w:rPr>
        <w:t xml:space="preserve">Potvrdu o prijavi rada, na zahtjev stranca, izdaje Služba za poslove sa strancima prema mjestu obavljanja poslova. </w:t>
      </w:r>
    </w:p>
    <w:p w14:paraId="6EB25388" w14:textId="77777777" w:rsidR="00C65E17" w:rsidRDefault="00C65E17" w:rsidP="00C65E17">
      <w:pPr>
        <w:spacing w:after="0" w:line="240" w:lineRule="auto"/>
        <w:ind w:left="11" w:right="28" w:firstLine="0"/>
        <w:rPr>
          <w:b/>
          <w:color w:val="auto"/>
          <w:szCs w:val="24"/>
        </w:rPr>
      </w:pPr>
    </w:p>
    <w:p w14:paraId="2CC78C4D" w14:textId="357D0D7E" w:rsidR="00B70AC5" w:rsidRPr="00AD4B99" w:rsidRDefault="00B70AC5" w:rsidP="00C65E17">
      <w:pPr>
        <w:spacing w:after="0" w:line="240" w:lineRule="auto"/>
        <w:ind w:left="11" w:right="28" w:firstLine="0"/>
        <w:rPr>
          <w:b/>
          <w:color w:val="auto"/>
          <w:szCs w:val="24"/>
        </w:rPr>
      </w:pPr>
      <w:r w:rsidRPr="00776561">
        <w:rPr>
          <w:b/>
          <w:color w:val="auto"/>
          <w:szCs w:val="24"/>
        </w:rPr>
        <w:t>Stalni boravak</w:t>
      </w:r>
      <w:r w:rsidR="007A4F52" w:rsidRPr="00AD4B99">
        <w:rPr>
          <w:b/>
          <w:color w:val="auto"/>
          <w:szCs w:val="24"/>
        </w:rPr>
        <w:t xml:space="preserve"> </w:t>
      </w:r>
    </w:p>
    <w:p w14:paraId="1CFAFA25" w14:textId="77777777" w:rsidR="00B70AC5" w:rsidRPr="00AD4B99" w:rsidRDefault="00B70AC5" w:rsidP="00C65E17">
      <w:pPr>
        <w:spacing w:after="0" w:line="240" w:lineRule="auto"/>
        <w:ind w:left="11" w:right="28" w:firstLine="0"/>
        <w:rPr>
          <w:color w:val="auto"/>
          <w:szCs w:val="24"/>
        </w:rPr>
      </w:pPr>
    </w:p>
    <w:p w14:paraId="55A2E078" w14:textId="1F75C9BC" w:rsidR="0015094B" w:rsidRPr="00AD4B99" w:rsidRDefault="0015094B" w:rsidP="00C65E17">
      <w:pPr>
        <w:spacing w:after="0" w:line="240" w:lineRule="auto"/>
        <w:ind w:left="11" w:right="28" w:firstLine="0"/>
        <w:rPr>
          <w:color w:val="auto"/>
          <w:szCs w:val="24"/>
        </w:rPr>
      </w:pPr>
      <w:r w:rsidRPr="00AD4B99">
        <w:rPr>
          <w:color w:val="auto"/>
          <w:szCs w:val="24"/>
        </w:rPr>
        <w:t>Stranci kojima je u BiH odobren stalni boravak imaju pravo na rad u BiH bez obaveze pribavljanja radne dozvole.</w:t>
      </w:r>
    </w:p>
    <w:p w14:paraId="3A78D4C7" w14:textId="77777777" w:rsidR="003F536A" w:rsidRPr="00AD4B99" w:rsidRDefault="003F536A" w:rsidP="00C65E17">
      <w:pPr>
        <w:spacing w:after="0" w:line="240" w:lineRule="auto"/>
        <w:ind w:firstLine="0"/>
        <w:rPr>
          <w:color w:val="auto"/>
          <w:szCs w:val="24"/>
        </w:rPr>
      </w:pPr>
    </w:p>
    <w:p w14:paraId="521E0946" w14:textId="1858C496" w:rsidR="003F536A" w:rsidRPr="00AD4B99" w:rsidRDefault="003F536A" w:rsidP="00C65E17">
      <w:pPr>
        <w:spacing w:after="0" w:line="240" w:lineRule="auto"/>
        <w:ind w:firstLine="0"/>
        <w:rPr>
          <w:b/>
          <w:bCs/>
          <w:color w:val="auto"/>
          <w:lang w:eastAsia="sr-Latn-BA"/>
        </w:rPr>
      </w:pPr>
      <w:r w:rsidRPr="00AD4B99">
        <w:rPr>
          <w:b/>
          <w:bCs/>
          <w:color w:val="auto"/>
          <w:lang w:eastAsia="sr-Latn-BA"/>
        </w:rPr>
        <w:t>Pravo na rad u B</w:t>
      </w:r>
      <w:r w:rsidR="008E2C73">
        <w:rPr>
          <w:b/>
          <w:bCs/>
          <w:color w:val="auto"/>
          <w:lang w:eastAsia="sr-Latn-BA"/>
        </w:rPr>
        <w:t xml:space="preserve">osni </w:t>
      </w:r>
      <w:r w:rsidRPr="00AD4B99">
        <w:rPr>
          <w:b/>
          <w:bCs/>
          <w:color w:val="auto"/>
          <w:lang w:eastAsia="sr-Latn-BA"/>
        </w:rPr>
        <w:t>i</w:t>
      </w:r>
      <w:r w:rsidR="008E2C73">
        <w:rPr>
          <w:b/>
          <w:bCs/>
          <w:color w:val="auto"/>
          <w:lang w:eastAsia="sr-Latn-BA"/>
        </w:rPr>
        <w:t xml:space="preserve"> </w:t>
      </w:r>
      <w:r w:rsidRPr="00AD4B99">
        <w:rPr>
          <w:b/>
          <w:bCs/>
          <w:color w:val="auto"/>
          <w:lang w:eastAsia="sr-Latn-BA"/>
        </w:rPr>
        <w:t>H</w:t>
      </w:r>
      <w:r w:rsidR="008E2C73">
        <w:rPr>
          <w:b/>
          <w:bCs/>
          <w:color w:val="auto"/>
          <w:lang w:eastAsia="sr-Latn-BA"/>
        </w:rPr>
        <w:t>ercegovini</w:t>
      </w:r>
      <w:r w:rsidRPr="00AD4B99">
        <w:rPr>
          <w:b/>
          <w:bCs/>
          <w:color w:val="auto"/>
          <w:lang w:eastAsia="sr-Latn-BA"/>
        </w:rPr>
        <w:t xml:space="preserve"> bez obaveze pribavljanja radne dozvole</w:t>
      </w:r>
    </w:p>
    <w:p w14:paraId="18B24952" w14:textId="77777777" w:rsidR="003F536A" w:rsidRPr="00AD4B99" w:rsidRDefault="003F536A" w:rsidP="00C65E17">
      <w:pPr>
        <w:spacing w:after="0" w:line="240" w:lineRule="auto"/>
        <w:ind w:firstLine="0"/>
        <w:rPr>
          <w:color w:val="auto"/>
          <w:szCs w:val="24"/>
        </w:rPr>
      </w:pPr>
    </w:p>
    <w:p w14:paraId="33D3AE0B" w14:textId="77777777" w:rsidR="003F536A" w:rsidRPr="00AD4B99" w:rsidRDefault="003F536A" w:rsidP="00C65E17">
      <w:pPr>
        <w:spacing w:after="0" w:line="240" w:lineRule="auto"/>
        <w:ind w:firstLine="0"/>
        <w:rPr>
          <w:bCs/>
          <w:color w:val="auto"/>
          <w:lang w:eastAsia="sr-Latn-BA"/>
        </w:rPr>
      </w:pPr>
      <w:r w:rsidRPr="00AD4B99">
        <w:rPr>
          <w:bCs/>
          <w:color w:val="auto"/>
          <w:lang w:eastAsia="sr-Latn-BA"/>
        </w:rPr>
        <w:t xml:space="preserve">Pravo na rad u BiH bez obaveze pribavljanja radne dozvole omogućeno je strancima koji u BiH imaju: </w:t>
      </w:r>
    </w:p>
    <w:p w14:paraId="5AC8B90E" w14:textId="243FF4E0" w:rsidR="003F536A" w:rsidRPr="00AD4B99" w:rsidRDefault="003F536A" w:rsidP="003F536A">
      <w:pPr>
        <w:rPr>
          <w:bCs/>
          <w:color w:val="auto"/>
          <w:lang w:eastAsia="sr-Latn-BA"/>
        </w:rPr>
      </w:pPr>
      <w:r w:rsidRPr="00AD4B99">
        <w:rPr>
          <w:bCs/>
          <w:color w:val="auto"/>
          <w:lang w:eastAsia="sr-Latn-BA"/>
        </w:rPr>
        <w:t xml:space="preserve">- odobren stalni boravak, </w:t>
      </w:r>
    </w:p>
    <w:p w14:paraId="61703EDA" w14:textId="16CA12B1" w:rsidR="003F536A" w:rsidRPr="00AD4B99" w:rsidRDefault="003F536A" w:rsidP="003F536A">
      <w:pPr>
        <w:rPr>
          <w:bCs/>
          <w:color w:val="auto"/>
          <w:lang w:eastAsia="sr-Latn-BA"/>
        </w:rPr>
      </w:pPr>
      <w:r w:rsidRPr="00AD4B99">
        <w:rPr>
          <w:bCs/>
          <w:color w:val="auto"/>
          <w:lang w:eastAsia="sr-Latn-BA"/>
        </w:rPr>
        <w:t xml:space="preserve">- odobren izbjeglički status, supsidijarnu zaštitu ili privremenu zaštitu, </w:t>
      </w:r>
    </w:p>
    <w:p w14:paraId="2A281933" w14:textId="4E98A688" w:rsidR="003F536A" w:rsidRPr="00AD4B99" w:rsidRDefault="003F536A" w:rsidP="003F536A">
      <w:pPr>
        <w:rPr>
          <w:bCs/>
          <w:color w:val="auto"/>
          <w:lang w:eastAsia="sr-Latn-BA"/>
        </w:rPr>
      </w:pPr>
      <w:r w:rsidRPr="00AD4B99">
        <w:rPr>
          <w:bCs/>
          <w:color w:val="auto"/>
          <w:lang w:eastAsia="sr-Latn-BA"/>
        </w:rPr>
        <w:t xml:space="preserve">- odobren privremeni boravak po osnovu spajanja porodice, a radi se o strancu koji je u braku ili vanbračnoj zajednici s državljaninom BiH ili koji ima odobren  privremeni boravak po osnovu spajanja porodice kao staratelj maloljetnog djeteta koje ima državljanstvo BiH, ili </w:t>
      </w:r>
    </w:p>
    <w:p w14:paraId="5F5B717F" w14:textId="276A0687" w:rsidR="003F536A" w:rsidRPr="00AD4B99" w:rsidRDefault="003F536A" w:rsidP="003F536A">
      <w:pPr>
        <w:rPr>
          <w:bCs/>
          <w:color w:val="auto"/>
          <w:lang w:eastAsia="sr-Latn-BA"/>
        </w:rPr>
      </w:pPr>
      <w:r w:rsidRPr="00AD4B99">
        <w:rPr>
          <w:bCs/>
          <w:color w:val="auto"/>
          <w:lang w:eastAsia="sr-Latn-BA"/>
        </w:rPr>
        <w:t>- odobren privremeni boravak po osnovu obrazovanja u statusu studenta, kada obavljaju poslove privremenog karaktera posredstvom ovlaštenih posrednika bez zasnivanja radnog odnosa u skladu s propisima kojima se regulira obavljanje takvih poslova.</w:t>
      </w:r>
    </w:p>
    <w:p w14:paraId="79275226" w14:textId="77777777" w:rsidR="00E420CF" w:rsidRDefault="00E420CF" w:rsidP="00AA5841">
      <w:pPr>
        <w:ind w:left="0" w:firstLine="0"/>
        <w:rPr>
          <w:bCs/>
          <w:lang w:eastAsia="sr-Latn-BA"/>
        </w:rPr>
      </w:pPr>
    </w:p>
    <w:p w14:paraId="5966DE9E" w14:textId="542A6310" w:rsidR="00765CE7" w:rsidRDefault="00B80ACE" w:rsidP="00AA5841">
      <w:pPr>
        <w:ind w:left="0" w:firstLine="0"/>
        <w:rPr>
          <w:bCs/>
          <w:lang w:eastAsia="sr-Latn-BA"/>
        </w:rPr>
      </w:pPr>
      <w:r>
        <w:rPr>
          <w:bCs/>
          <w:lang w:eastAsia="sr-Latn-BA"/>
        </w:rPr>
        <w:t>U Bosni i Hercegovini sljedeći zakoni uređuju uslove i procedure zapošljavanja stranaca, osim ako međunarodnim sporazumom nije drugačije propisano:</w:t>
      </w:r>
    </w:p>
    <w:p w14:paraId="62DF51CA" w14:textId="1CB292BA" w:rsidR="00E61AB6" w:rsidRPr="002062F4" w:rsidRDefault="00E61AB6" w:rsidP="002062F4">
      <w:pPr>
        <w:pStyle w:val="ListParagraph"/>
        <w:numPr>
          <w:ilvl w:val="0"/>
          <w:numId w:val="35"/>
        </w:numPr>
        <w:rPr>
          <w:bCs/>
          <w:lang w:eastAsia="sr-Latn-BA"/>
        </w:rPr>
      </w:pPr>
      <w:r w:rsidRPr="002062F4">
        <w:rPr>
          <w:bCs/>
          <w:lang w:eastAsia="sr-Latn-BA"/>
        </w:rPr>
        <w:t>Zakon o strancima („Službeni glasnik BiH“, broj 88/15)</w:t>
      </w:r>
      <w:r w:rsidR="00FA6CCF">
        <w:rPr>
          <w:bCs/>
          <w:lang w:eastAsia="sr-Latn-BA"/>
        </w:rPr>
        <w:t>,</w:t>
      </w:r>
    </w:p>
    <w:p w14:paraId="5A7745E3" w14:textId="0A18B3C2" w:rsidR="00765CE7" w:rsidRPr="002062F4" w:rsidRDefault="00B80ACE" w:rsidP="002062F4">
      <w:pPr>
        <w:pStyle w:val="ListParagraph"/>
        <w:numPr>
          <w:ilvl w:val="0"/>
          <w:numId w:val="35"/>
        </w:numPr>
        <w:rPr>
          <w:bCs/>
          <w:lang w:eastAsia="sr-Latn-BA"/>
        </w:rPr>
      </w:pPr>
      <w:r w:rsidRPr="002062F4">
        <w:rPr>
          <w:bCs/>
          <w:lang w:eastAsia="sr-Latn-BA"/>
        </w:rPr>
        <w:t>Zakon o zapošljavanju stranaca („Službene novine FBiH“, broj 111/12),</w:t>
      </w:r>
    </w:p>
    <w:p w14:paraId="2CC10449" w14:textId="03417E33" w:rsidR="00765CE7" w:rsidRDefault="00B80ACE" w:rsidP="002062F4">
      <w:pPr>
        <w:pStyle w:val="ListParagraph"/>
        <w:numPr>
          <w:ilvl w:val="0"/>
          <w:numId w:val="35"/>
        </w:numPr>
        <w:rPr>
          <w:bCs/>
          <w:lang w:eastAsia="sr-Latn-BA"/>
        </w:rPr>
      </w:pPr>
      <w:r w:rsidRPr="002062F4">
        <w:rPr>
          <w:bCs/>
          <w:lang w:eastAsia="sr-Latn-BA"/>
        </w:rPr>
        <w:lastRenderedPageBreak/>
        <w:t xml:space="preserve">Zakon o zapošljavanju stranih državljana i lica bez državljanstva („Službeni glasnik </w:t>
      </w:r>
      <w:r w:rsidR="00A2315B" w:rsidRPr="002062F4">
        <w:rPr>
          <w:bCs/>
          <w:lang w:eastAsia="sr-Latn-BA"/>
        </w:rPr>
        <w:t xml:space="preserve"> </w:t>
      </w:r>
      <w:r w:rsidRPr="002062F4">
        <w:rPr>
          <w:bCs/>
          <w:lang w:eastAsia="sr-Latn-BA"/>
        </w:rPr>
        <w:t>Republike Srpske“, br. 24/09 i 117/11),</w:t>
      </w:r>
    </w:p>
    <w:p w14:paraId="029319A9" w14:textId="064C7685" w:rsidR="00012299" w:rsidRDefault="00012299" w:rsidP="002062F4">
      <w:pPr>
        <w:pStyle w:val="ListParagraph"/>
        <w:numPr>
          <w:ilvl w:val="0"/>
          <w:numId w:val="35"/>
        </w:numPr>
        <w:rPr>
          <w:bCs/>
          <w:lang w:eastAsia="sr-Latn-BA"/>
        </w:rPr>
      </w:pPr>
      <w:r>
        <w:rPr>
          <w:bCs/>
          <w:lang w:eastAsia="sr-Latn-BA"/>
        </w:rPr>
        <w:t>Zakon o zapošljavanju stranaca u Brčko Distriktu BiH („Službeni glasnik Brčko Distrikta BiH“, br. 15/09, 19/09 i 20</w:t>
      </w:r>
      <w:r w:rsidR="00495351">
        <w:rPr>
          <w:bCs/>
          <w:lang w:eastAsia="sr-Latn-BA"/>
        </w:rPr>
        <w:t>/10</w:t>
      </w:r>
    </w:p>
    <w:p w14:paraId="669BFAA4" w14:textId="4E8783B0" w:rsidR="005B3875" w:rsidRPr="0017734F" w:rsidRDefault="005B3875" w:rsidP="0017734F">
      <w:pPr>
        <w:ind w:left="0" w:firstLine="0"/>
        <w:rPr>
          <w:bCs/>
          <w:lang w:eastAsia="sr-Latn-BA"/>
        </w:rPr>
      </w:pPr>
    </w:p>
    <w:p w14:paraId="6754D20E" w14:textId="6A06CA53" w:rsidR="00765CE7" w:rsidRDefault="00B80ACE" w:rsidP="0017734F">
      <w:pPr>
        <w:rPr>
          <w:rFonts w:ascii="Calibri" w:eastAsia="Calibri" w:hAnsi="Calibri"/>
          <w:color w:val="auto"/>
          <w:sz w:val="22"/>
          <w:lang w:val="en-US" w:eastAsia="en-US"/>
        </w:rPr>
      </w:pPr>
      <w:r>
        <w:rPr>
          <w:bCs/>
          <w:lang w:eastAsia="sr-Latn-BA"/>
        </w:rPr>
        <w:t>U B</w:t>
      </w:r>
      <w:r w:rsidR="00AA5841">
        <w:rPr>
          <w:bCs/>
          <w:lang w:eastAsia="sr-Latn-BA"/>
        </w:rPr>
        <w:t xml:space="preserve">osni </w:t>
      </w:r>
      <w:r>
        <w:rPr>
          <w:bCs/>
          <w:lang w:eastAsia="sr-Latn-BA"/>
        </w:rPr>
        <w:t>i</w:t>
      </w:r>
      <w:r w:rsidR="00AA5841">
        <w:rPr>
          <w:bCs/>
          <w:lang w:eastAsia="sr-Latn-BA"/>
        </w:rPr>
        <w:t xml:space="preserve"> </w:t>
      </w:r>
      <w:r>
        <w:rPr>
          <w:bCs/>
          <w:lang w:eastAsia="sr-Latn-BA"/>
        </w:rPr>
        <w:t>H</w:t>
      </w:r>
      <w:r w:rsidR="00AA5841">
        <w:rPr>
          <w:bCs/>
          <w:lang w:eastAsia="sr-Latn-BA"/>
        </w:rPr>
        <w:t>ercegovini</w:t>
      </w:r>
      <w:r>
        <w:rPr>
          <w:bCs/>
          <w:lang w:eastAsia="sr-Latn-BA"/>
        </w:rPr>
        <w:t xml:space="preserve"> utvrđuje</w:t>
      </w:r>
      <w:r w:rsidR="00AA5841">
        <w:rPr>
          <w:bCs/>
          <w:lang w:eastAsia="sr-Latn-BA"/>
        </w:rPr>
        <w:t xml:space="preserve"> se</w:t>
      </w:r>
      <w:r>
        <w:rPr>
          <w:bCs/>
          <w:lang w:eastAsia="sr-Latn-BA"/>
        </w:rPr>
        <w:t xml:space="preserve"> i godišnja kvota radnih dozvola za zapošljavanje stranaca. Kvota radnih dozvola je broj radnih dozvola koje se u BiH mogu izdati u jednoj godini za strance određenih zanimanja, odnosno za strance koji obavljaju određene djelatnosti, a kojima je radna dozvola za rad u BiH potrebna i ulazi u kvotu, uključujući i broj radnih dozvola koje se u BiH mogu izdati u jednoj godini za sezonske radnike. Godišnju kvotu radnih dozvola utvrđuje Vijeće ministara BiH, u skladu s migracionom politikom i uz uvažavanje stanja na tržištu rada. Prijedlog godišnje kvote radnih dozvola Vijeću ministara BiH podnosi Ministarstvo civilnih poslova BiH, </w:t>
      </w:r>
      <w:r w:rsidR="005A7112">
        <w:rPr>
          <w:bCs/>
          <w:lang w:eastAsia="sr-Latn-BA"/>
        </w:rPr>
        <w:t xml:space="preserve">kojem Agencija za rad i zapošljavanje BiH dostavlja </w:t>
      </w:r>
      <w:r>
        <w:rPr>
          <w:bCs/>
          <w:lang w:eastAsia="sr-Latn-BA"/>
        </w:rPr>
        <w:t xml:space="preserve">prijedlog izraženih potreba organa nadležnih za poslove zapošljavanja stranaca Federacije BiH, Republike Srpske i Brčko </w:t>
      </w:r>
      <w:r w:rsidR="006143F0">
        <w:rPr>
          <w:bCs/>
          <w:lang w:eastAsia="sr-Latn-BA"/>
        </w:rPr>
        <w:t>Distrikta</w:t>
      </w:r>
      <w:r w:rsidR="00F04C58">
        <w:rPr>
          <w:bCs/>
          <w:lang w:eastAsia="sr-Latn-BA"/>
        </w:rPr>
        <w:t xml:space="preserve"> </w:t>
      </w:r>
      <w:r>
        <w:rPr>
          <w:bCs/>
          <w:lang w:eastAsia="sr-Latn-BA"/>
        </w:rPr>
        <w:t>BiH.</w:t>
      </w:r>
      <w:r w:rsidR="005A7112">
        <w:rPr>
          <w:bCs/>
          <w:lang w:eastAsia="sr-Latn-BA"/>
        </w:rPr>
        <w:t xml:space="preserve"> </w:t>
      </w:r>
      <w:r>
        <w:rPr>
          <w:bCs/>
          <w:lang w:eastAsia="sr-Latn-BA"/>
        </w:rPr>
        <w:t>U okviru godišnje kvote radnih dozvola, Vijeće ministara BiH utvrđuje djelatnosti i zanimanja u kojima se dopušta zapošljavanje stranaca i broj radnih dozvola za svaku od djelatnosti, te utvrđuje teritorijalnu raspodjelu radnih dozvola prema izraženim potrebama. Radne dozvole utvrđene godišnjom kvotom izdaju se prvo za produženje već izdatih radnih dozvola, pa potom za novo zapošljavanje.</w:t>
      </w:r>
      <w:r>
        <w:t xml:space="preserve"> </w:t>
      </w:r>
      <w:r>
        <w:rPr>
          <w:bCs/>
          <w:color w:val="auto"/>
          <w:lang w:eastAsia="sr-Latn-BA"/>
        </w:rPr>
        <w:t xml:space="preserve">Prijedlog kvote sadrži podatke </w:t>
      </w:r>
      <w:r>
        <w:rPr>
          <w:bCs/>
          <w:color w:val="auto"/>
        </w:rPr>
        <w:t>o broju potrebnih radnih dozvola za strance, prema stepenu i vrsti obrazovanja, odnosno kvalifikacija ili stručnosti, te eventualno prema vrsti sezonskih djelatnosti, ukoliko se iskaže potreba.</w:t>
      </w:r>
      <w:r>
        <w:rPr>
          <w:rFonts w:ascii="Calibri" w:eastAsia="Calibri" w:hAnsi="Calibri"/>
          <w:color w:val="auto"/>
          <w:sz w:val="22"/>
          <w:lang w:val="en-US" w:eastAsia="en-US"/>
        </w:rPr>
        <w:t xml:space="preserve"> </w:t>
      </w:r>
    </w:p>
    <w:p w14:paraId="218CBA61" w14:textId="1C9D1A5C" w:rsidR="00394622" w:rsidRDefault="00394622" w:rsidP="0017734F">
      <w:pPr>
        <w:rPr>
          <w:bCs/>
          <w:lang w:eastAsia="sr-Latn-BA"/>
        </w:rPr>
      </w:pPr>
      <w:r>
        <w:rPr>
          <w:bCs/>
          <w:lang w:eastAsia="sr-Latn-BA"/>
        </w:rPr>
        <w:t xml:space="preserve">Entitetski zavodi za zapošljavanje i Zavod za zapošljavanje Brčko </w:t>
      </w:r>
      <w:r w:rsidR="00FE75D2">
        <w:rPr>
          <w:bCs/>
          <w:lang w:eastAsia="sr-Latn-BA"/>
        </w:rPr>
        <w:t>D</w:t>
      </w:r>
      <w:r>
        <w:rPr>
          <w:bCs/>
          <w:lang w:eastAsia="sr-Latn-BA"/>
        </w:rPr>
        <w:t>istrikta BiH svoje potrebe definišu na osnovu:</w:t>
      </w:r>
    </w:p>
    <w:p w14:paraId="1AF0C230" w14:textId="379BD097" w:rsidR="00394622" w:rsidRPr="00586E0F" w:rsidRDefault="00394622" w:rsidP="0017734F">
      <w:pPr>
        <w:rPr>
          <w:rFonts w:eastAsia="Calibri"/>
          <w:color w:val="auto"/>
          <w:szCs w:val="24"/>
          <w:lang w:eastAsia="en-US"/>
        </w:rPr>
      </w:pPr>
      <w:r w:rsidRPr="00394622">
        <w:rPr>
          <w:rFonts w:eastAsia="Calibri"/>
          <w:color w:val="auto"/>
          <w:sz w:val="22"/>
          <w:lang w:val="en-US" w:eastAsia="en-US"/>
        </w:rPr>
        <w:t>-</w:t>
      </w:r>
      <w:r w:rsidRPr="00586E0F">
        <w:rPr>
          <w:rFonts w:eastAsia="Calibri"/>
          <w:color w:val="auto"/>
          <w:szCs w:val="24"/>
          <w:lang w:eastAsia="en-US"/>
        </w:rPr>
        <w:t xml:space="preserve">komunikacije i dogovora o planiranim potrebama kantonalnih službi za zapošljavanje (u Federaciji BiH), regionalnih filijala JU Zavoda za zapošljavanje Republike Srpske u Republici Srpskoj </w:t>
      </w:r>
      <w:r w:rsidR="00FE75D2" w:rsidRPr="00586E0F">
        <w:rPr>
          <w:rFonts w:eastAsia="Calibri"/>
          <w:color w:val="auto"/>
          <w:szCs w:val="24"/>
          <w:lang w:eastAsia="en-US"/>
        </w:rPr>
        <w:t>i</w:t>
      </w:r>
      <w:r w:rsidRPr="00586E0F">
        <w:rPr>
          <w:rFonts w:eastAsia="Calibri"/>
          <w:color w:val="auto"/>
          <w:szCs w:val="24"/>
          <w:lang w:eastAsia="en-US"/>
        </w:rPr>
        <w:t xml:space="preserve"> Zavoda za zapošljavanje Brčko Distrikta BiH,</w:t>
      </w:r>
    </w:p>
    <w:p w14:paraId="037E7B09" w14:textId="286E2FB4" w:rsidR="007311DF" w:rsidRPr="00586E0F" w:rsidRDefault="007311DF" w:rsidP="0017734F">
      <w:pPr>
        <w:rPr>
          <w:rFonts w:eastAsia="Calibri"/>
          <w:color w:val="auto"/>
          <w:szCs w:val="24"/>
          <w:lang w:eastAsia="en-US"/>
        </w:rPr>
      </w:pPr>
      <w:r w:rsidRPr="00586E0F">
        <w:rPr>
          <w:rFonts w:eastAsia="Calibri"/>
          <w:color w:val="auto"/>
          <w:szCs w:val="24"/>
          <w:lang w:eastAsia="en-US"/>
        </w:rPr>
        <w:t>-iskustva o izdatim radnim dozvolama stranim radnicima za određena zanimanja iz prethodnih godina,</w:t>
      </w:r>
    </w:p>
    <w:p w14:paraId="3C0B4D09" w14:textId="2ACC978E" w:rsidR="00765CE7" w:rsidRPr="00586E0F" w:rsidRDefault="007311DF" w:rsidP="00585908">
      <w:pPr>
        <w:rPr>
          <w:rFonts w:eastAsia="Calibri"/>
          <w:color w:val="auto"/>
          <w:szCs w:val="24"/>
          <w:lang w:eastAsia="en-US"/>
        </w:rPr>
      </w:pPr>
      <w:r w:rsidRPr="00586E0F">
        <w:rPr>
          <w:rFonts w:eastAsia="Calibri"/>
          <w:color w:val="auto"/>
          <w:szCs w:val="24"/>
          <w:lang w:eastAsia="en-US"/>
        </w:rPr>
        <w:t>-eventualnih iskazanih planiranih potreba poslodavaca za novo zapošljavanje stranih radnika.</w:t>
      </w:r>
    </w:p>
    <w:p w14:paraId="05DED95D" w14:textId="77777777" w:rsidR="00585908" w:rsidRPr="00585908" w:rsidRDefault="00585908" w:rsidP="00585908">
      <w:pPr>
        <w:rPr>
          <w:rFonts w:eastAsia="Calibri"/>
          <w:color w:val="auto"/>
          <w:sz w:val="22"/>
          <w:lang w:val="en-US" w:eastAsia="en-US"/>
        </w:rPr>
      </w:pPr>
    </w:p>
    <w:p w14:paraId="7A41567C" w14:textId="0EADDA83" w:rsidR="00765CE7" w:rsidRDefault="00B80ACE" w:rsidP="00D27213">
      <w:pPr>
        <w:ind w:firstLine="0"/>
        <w:rPr>
          <w:bCs/>
          <w:lang w:eastAsia="sr-Latn-BA"/>
        </w:rPr>
      </w:pPr>
      <w:r>
        <w:rPr>
          <w:bCs/>
          <w:lang w:eastAsia="sr-Latn-BA"/>
        </w:rPr>
        <w:t xml:space="preserve">Radna dozvola može se izdati nezavisno od utvrđene godišnje kvote radnih dozvola u sljedećim slučajevima: </w:t>
      </w:r>
    </w:p>
    <w:p w14:paraId="379FDA85" w14:textId="7B19D974" w:rsidR="00765CE7" w:rsidRDefault="00B80ACE">
      <w:pPr>
        <w:pStyle w:val="ListParagraph"/>
        <w:numPr>
          <w:ilvl w:val="0"/>
          <w:numId w:val="2"/>
        </w:numPr>
        <w:rPr>
          <w:bCs/>
          <w:lang w:eastAsia="sr-Latn-BA"/>
        </w:rPr>
      </w:pPr>
      <w:r>
        <w:rPr>
          <w:bCs/>
          <w:lang w:eastAsia="sr-Latn-BA"/>
        </w:rPr>
        <w:t>strancu koji ima obrazovanje koje odgovara visokom obrazovanju, završenom postdiplomskom ili doktorskom studiju u BiH</w:t>
      </w:r>
      <w:r w:rsidR="006C2349">
        <w:rPr>
          <w:bCs/>
          <w:lang w:eastAsia="sr-Latn-BA"/>
        </w:rPr>
        <w:t>,</w:t>
      </w:r>
      <w:r>
        <w:rPr>
          <w:bCs/>
          <w:lang w:eastAsia="sr-Latn-BA"/>
        </w:rPr>
        <w:t xml:space="preserve"> </w:t>
      </w:r>
    </w:p>
    <w:p w14:paraId="0A8EE361" w14:textId="19EE0B34" w:rsidR="00765CE7" w:rsidRDefault="00B80ACE">
      <w:pPr>
        <w:pStyle w:val="ListParagraph"/>
        <w:numPr>
          <w:ilvl w:val="0"/>
          <w:numId w:val="2"/>
        </w:numPr>
        <w:rPr>
          <w:bCs/>
          <w:lang w:eastAsia="sr-Latn-BA"/>
        </w:rPr>
      </w:pPr>
      <w:r>
        <w:rPr>
          <w:bCs/>
          <w:lang w:eastAsia="sr-Latn-BA"/>
        </w:rPr>
        <w:t>strancu čiji se rad u BiH zasniva na međunarodnom sporazumu</w:t>
      </w:r>
      <w:r w:rsidR="006C2349">
        <w:rPr>
          <w:bCs/>
          <w:lang w:eastAsia="sr-Latn-BA"/>
        </w:rPr>
        <w:t>,</w:t>
      </w:r>
      <w:r>
        <w:rPr>
          <w:bCs/>
          <w:lang w:eastAsia="sr-Latn-BA"/>
        </w:rPr>
        <w:t xml:space="preserve"> </w:t>
      </w:r>
    </w:p>
    <w:p w14:paraId="26B5C985" w14:textId="41EBFC6B" w:rsidR="00765CE7" w:rsidRDefault="00B80ACE">
      <w:pPr>
        <w:pStyle w:val="ListParagraph"/>
        <w:numPr>
          <w:ilvl w:val="0"/>
          <w:numId w:val="2"/>
        </w:numPr>
        <w:rPr>
          <w:bCs/>
          <w:lang w:eastAsia="sr-Latn-BA"/>
        </w:rPr>
      </w:pPr>
      <w:r>
        <w:rPr>
          <w:bCs/>
          <w:lang w:eastAsia="sr-Latn-BA"/>
        </w:rPr>
        <w:t>strancu koji obavlja ključne poslove u poslovnom subjektu, a koji nije izuzet od potrebe posjedovanja radne dozvole na osnovu međunarodnog sporazuma</w:t>
      </w:r>
      <w:r w:rsidR="006C2349">
        <w:rPr>
          <w:bCs/>
          <w:lang w:eastAsia="sr-Latn-BA"/>
        </w:rPr>
        <w:t>,</w:t>
      </w:r>
    </w:p>
    <w:p w14:paraId="2700BF85" w14:textId="0759F865" w:rsidR="00765CE7" w:rsidRDefault="00B80ACE">
      <w:pPr>
        <w:pStyle w:val="ListParagraph"/>
        <w:numPr>
          <w:ilvl w:val="0"/>
          <w:numId w:val="2"/>
        </w:numPr>
        <w:rPr>
          <w:bCs/>
          <w:lang w:eastAsia="sr-Latn-BA"/>
        </w:rPr>
      </w:pPr>
      <w:r>
        <w:rPr>
          <w:bCs/>
          <w:lang w:eastAsia="sr-Latn-BA"/>
        </w:rPr>
        <w:t>učiteljima ili nastavnicima koji izvode ili pomažu u nastavi u obrazovnim ustanovama zbog svog specifičnog znanja</w:t>
      </w:r>
      <w:r w:rsidR="006C2349">
        <w:rPr>
          <w:bCs/>
          <w:lang w:eastAsia="sr-Latn-BA"/>
        </w:rPr>
        <w:t>,</w:t>
      </w:r>
    </w:p>
    <w:p w14:paraId="62C020BD" w14:textId="50E90B32" w:rsidR="00765CE7" w:rsidRDefault="00B80ACE">
      <w:pPr>
        <w:pStyle w:val="ListParagraph"/>
        <w:numPr>
          <w:ilvl w:val="0"/>
          <w:numId w:val="2"/>
        </w:numPr>
        <w:rPr>
          <w:bCs/>
          <w:lang w:eastAsia="sr-Latn-BA"/>
        </w:rPr>
      </w:pPr>
      <w:r>
        <w:rPr>
          <w:bCs/>
          <w:lang w:eastAsia="sr-Latn-BA"/>
        </w:rPr>
        <w:t>profesionalnim sportistima ili sportskim radnicima koji na osnovu valjano zaključenog ugovora rade u BiH</w:t>
      </w:r>
      <w:r w:rsidR="006C2349">
        <w:rPr>
          <w:bCs/>
          <w:lang w:eastAsia="sr-Latn-BA"/>
        </w:rPr>
        <w:t>,</w:t>
      </w:r>
      <w:r>
        <w:rPr>
          <w:bCs/>
          <w:lang w:eastAsia="sr-Latn-BA"/>
        </w:rPr>
        <w:t xml:space="preserve"> </w:t>
      </w:r>
    </w:p>
    <w:p w14:paraId="7FB4E12D" w14:textId="4134A08B" w:rsidR="00765CE7" w:rsidRDefault="00B80ACE">
      <w:pPr>
        <w:pStyle w:val="ListParagraph"/>
        <w:numPr>
          <w:ilvl w:val="0"/>
          <w:numId w:val="2"/>
        </w:numPr>
        <w:rPr>
          <w:bCs/>
          <w:lang w:eastAsia="sr-Latn-BA"/>
        </w:rPr>
      </w:pPr>
      <w:r>
        <w:rPr>
          <w:bCs/>
          <w:lang w:eastAsia="sr-Latn-BA"/>
        </w:rPr>
        <w:t>strancu koji se odrekao državljanstva BiH</w:t>
      </w:r>
      <w:r w:rsidR="006C2349">
        <w:rPr>
          <w:bCs/>
          <w:lang w:eastAsia="sr-Latn-BA"/>
        </w:rPr>
        <w:t>,</w:t>
      </w:r>
      <w:r>
        <w:rPr>
          <w:bCs/>
          <w:lang w:eastAsia="sr-Latn-BA"/>
        </w:rPr>
        <w:t xml:space="preserve"> ili </w:t>
      </w:r>
    </w:p>
    <w:p w14:paraId="592F787A" w14:textId="77777777" w:rsidR="00765CE7" w:rsidRDefault="00B80ACE">
      <w:pPr>
        <w:pStyle w:val="ListParagraph"/>
        <w:numPr>
          <w:ilvl w:val="0"/>
          <w:numId w:val="2"/>
        </w:numPr>
        <w:rPr>
          <w:bCs/>
          <w:lang w:eastAsia="sr-Latn-BA"/>
        </w:rPr>
      </w:pPr>
      <w:r>
        <w:rPr>
          <w:bCs/>
          <w:lang w:eastAsia="sr-Latn-BA"/>
        </w:rPr>
        <w:t xml:space="preserve">strancu koji je u bračnoj ili vanbračnoj zajednici sa strancem s odobrenim stalnim boravkom u BiH ili je dijete stranca s odobrenim stalnim boravkom u BiH. </w:t>
      </w:r>
    </w:p>
    <w:p w14:paraId="35E4122D" w14:textId="77777777" w:rsidR="00765CE7" w:rsidRDefault="00765CE7" w:rsidP="007B35D5">
      <w:pPr>
        <w:ind w:left="0" w:firstLine="0"/>
        <w:rPr>
          <w:bCs/>
          <w:lang w:eastAsia="sr-Latn-BA"/>
        </w:rPr>
      </w:pPr>
    </w:p>
    <w:p w14:paraId="099A0E8F" w14:textId="70AE2F17" w:rsidR="00765CE7" w:rsidRDefault="00B80ACE">
      <w:pPr>
        <w:ind w:firstLine="0"/>
        <w:rPr>
          <w:bCs/>
          <w:lang w:eastAsia="sr-Latn-BA"/>
        </w:rPr>
      </w:pPr>
      <w:r>
        <w:rPr>
          <w:bCs/>
          <w:lang w:eastAsia="sr-Latn-BA"/>
        </w:rPr>
        <w:lastRenderedPageBreak/>
        <w:t>U Federaciji B</w:t>
      </w:r>
      <w:r w:rsidR="0020020D">
        <w:rPr>
          <w:bCs/>
          <w:lang w:eastAsia="sr-Latn-BA"/>
        </w:rPr>
        <w:t xml:space="preserve">osne </w:t>
      </w:r>
      <w:r>
        <w:rPr>
          <w:bCs/>
          <w:lang w:eastAsia="sr-Latn-BA"/>
        </w:rPr>
        <w:t>i</w:t>
      </w:r>
      <w:r w:rsidR="0020020D">
        <w:rPr>
          <w:bCs/>
          <w:lang w:eastAsia="sr-Latn-BA"/>
        </w:rPr>
        <w:t xml:space="preserve"> </w:t>
      </w:r>
      <w:r>
        <w:rPr>
          <w:bCs/>
          <w:lang w:eastAsia="sr-Latn-BA"/>
        </w:rPr>
        <w:t>H</w:t>
      </w:r>
      <w:r w:rsidR="0020020D">
        <w:rPr>
          <w:bCs/>
          <w:lang w:eastAsia="sr-Latn-BA"/>
        </w:rPr>
        <w:t>ercegovine</w:t>
      </w:r>
      <w:r>
        <w:rPr>
          <w:bCs/>
          <w:lang w:eastAsia="sr-Latn-BA"/>
        </w:rPr>
        <w:t xml:space="preserve"> radne dozvole izdaju kantonalne službe za zapošljavanje</w:t>
      </w:r>
      <w:r>
        <w:t xml:space="preserve"> </w:t>
      </w:r>
      <w:r>
        <w:rPr>
          <w:bCs/>
          <w:lang w:eastAsia="sr-Latn-BA"/>
        </w:rPr>
        <w:t xml:space="preserve">prema sjedištu poslodavca, uz odobrenje Federalnog zavoda za zapošljavanje, a u skladu sa Zakonom o zapošljavanju stranaca, Zakona o strancima i Procedurom za izdavanje radne dozvole od 6.6.2011. godine, kojima su, između ostalog, definirani uslovi i način izdavanja, te u skladu sa kvotom radnih dozvola. </w:t>
      </w:r>
    </w:p>
    <w:p w14:paraId="4991D8B3" w14:textId="77777777" w:rsidR="00CC25C2" w:rsidRDefault="00CC25C2">
      <w:pPr>
        <w:ind w:firstLine="0"/>
        <w:rPr>
          <w:bCs/>
          <w:lang w:eastAsia="sr-Latn-BA"/>
        </w:rPr>
      </w:pPr>
    </w:p>
    <w:p w14:paraId="762D3EFD" w14:textId="304A8DB3" w:rsidR="00765CE7" w:rsidRDefault="00B80ACE">
      <w:pPr>
        <w:ind w:firstLine="0"/>
        <w:rPr>
          <w:bCs/>
          <w:lang w:eastAsia="sr-Latn-BA"/>
        </w:rPr>
      </w:pPr>
      <w:r>
        <w:rPr>
          <w:bCs/>
          <w:lang w:eastAsia="sr-Latn-BA"/>
        </w:rPr>
        <w:t>Kantonalna služba ne može izdati radnu dozvolu strancu ukoliko se na evidenciji nezaposlenih prema sjedištu poslodavca nalazi nezaposlena osoba koja ispunjava uvjete u skladu sa zahtjevom za izdavanje radne dozvole, osim u slučaju kada nezaposlena osoba odbije zaposlenje. Izuzetno, strancu koji želi zasnovati radni odnos</w:t>
      </w:r>
      <w:r w:rsidR="00E2417D">
        <w:rPr>
          <w:bCs/>
          <w:lang w:eastAsia="sr-Latn-BA"/>
        </w:rPr>
        <w:t>,</w:t>
      </w:r>
      <w:r>
        <w:rPr>
          <w:bCs/>
          <w:lang w:eastAsia="sr-Latn-BA"/>
        </w:rPr>
        <w:t xml:space="preserve"> a na teritoriji Federacije BiH je osnivač ili suosnivač privrednog društva, član uprave, član nadzornog odbora ili ključno osoblje utvrđeno aktom o unutrašnjoj organizaciji i sistematizaciji poslova društva u većinskom vlasništvu stranog pravnog ili fizičkog lica</w:t>
      </w:r>
      <w:r w:rsidR="00E2417D">
        <w:rPr>
          <w:bCs/>
          <w:lang w:eastAsia="sr-Latn-BA"/>
        </w:rPr>
        <w:t>,</w:t>
      </w:r>
      <w:r>
        <w:rPr>
          <w:bCs/>
          <w:lang w:eastAsia="sr-Latn-BA"/>
        </w:rPr>
        <w:t xml:space="preserve"> kao i strancu registrovanom za obavljanje obrta, kantonalna služba izdat će radnu dozvolu, bez obzira na to da li se na evidenciji nezaposlenih nalaze osobe koje ispunjavaju uvjete navedene u zahtjevu za izdavanje radne dozvole.</w:t>
      </w:r>
    </w:p>
    <w:p w14:paraId="7B3322B1" w14:textId="77777777" w:rsidR="00CC25C2" w:rsidRDefault="00CC25C2">
      <w:pPr>
        <w:ind w:firstLine="0"/>
        <w:rPr>
          <w:bCs/>
          <w:lang w:eastAsia="sr-Latn-BA"/>
        </w:rPr>
      </w:pPr>
    </w:p>
    <w:p w14:paraId="3466CBFF" w14:textId="77777777" w:rsidR="00765CE7" w:rsidRDefault="00B80ACE">
      <w:pPr>
        <w:rPr>
          <w:bCs/>
          <w:lang w:eastAsia="sr-Latn-BA"/>
        </w:rPr>
      </w:pPr>
      <w:r>
        <w:rPr>
          <w:bCs/>
          <w:lang w:eastAsia="sr-Latn-BA"/>
        </w:rPr>
        <w:t>Zakonom o zapošljavanju stranih državljana i lica bez državljanstva regulisano je zapošljavanje stranih državljana i lica bez državljanstva, odnosno izdavanje radnih dozvola stranim državljanima u Republici Srpskoj, dok je Zakonom o strancima između ostalog definisano izdavanje radnih dozvola, kvote i  izuzeci. Na zahtjev poslodavca koji zapošljava radnika, radnu dozvolu u obliku rješenja izdaje filijala JU Zavoda za zapošljavanje Republike Srpske nadležna prema sjedištu poslodavca, nakon provjere da li na evidenciji nezaposlenih ima lica koje traži poslodavac i na osnovu utvrđene kvote radnih dozvola u Republici Srpskoj. Stranim ulagačima ili osnivačima privrednog društva, odnosno preduzećima sa sjedištem u Republici Srpskoj, Zavod izdaje radnu dozvolu bez obzira da li na evidenciji nezaposlenih ima lica koja ispunjavaju uslove tražene zahtjevom  za izdavanje radne dozvole.</w:t>
      </w:r>
    </w:p>
    <w:p w14:paraId="66ACC668" w14:textId="77777777" w:rsidR="00765CE7" w:rsidRDefault="00765CE7">
      <w:pPr>
        <w:rPr>
          <w:lang w:eastAsia="sr-Latn-BA"/>
        </w:rPr>
      </w:pPr>
    </w:p>
    <w:p w14:paraId="0D447CA5" w14:textId="509F2DA8" w:rsidR="00765CE7" w:rsidRDefault="00B80ACE">
      <w:pPr>
        <w:rPr>
          <w:lang w:val="sr-Cyrl-CS" w:eastAsia="sr-Latn-BA"/>
        </w:rPr>
      </w:pPr>
      <w:r>
        <w:rPr>
          <w:lang w:eastAsia="sr-Latn-BA"/>
        </w:rPr>
        <w:tab/>
        <w:t>U Republici Srpskoj se utvrđuje i godišnja kvota radnih dozvola za Republiku Srpsku koju utvrđuje JU Zavod za zapošljavanje Republike Srpske, uz saglasnost Vlade Republike Srpske.</w:t>
      </w:r>
      <w:r>
        <w:rPr>
          <w:rFonts w:eastAsia="SimSun"/>
          <w:kern w:val="2"/>
          <w:lang w:val="ru-RU" w:eastAsia="zh-CN"/>
        </w:rPr>
        <w:t xml:space="preserve"> </w:t>
      </w:r>
      <w:r>
        <w:rPr>
          <w:lang w:val="sr-Cyrl-CS" w:eastAsia="sr-Latn-BA"/>
        </w:rPr>
        <w:t xml:space="preserve">Kvota radnih dozvola potom se upućuje Agenciji za rad i zapošlјavanje </w:t>
      </w:r>
      <w:r>
        <w:rPr>
          <w:lang w:eastAsia="sr-Latn-BA"/>
        </w:rPr>
        <w:t>BiH</w:t>
      </w:r>
      <w:r w:rsidR="0005161F">
        <w:rPr>
          <w:lang w:val="sr-Cyrl-CS" w:eastAsia="sr-Latn-BA"/>
        </w:rPr>
        <w:t>, da bi Vijeće</w:t>
      </w:r>
      <w:r>
        <w:rPr>
          <w:lang w:val="sr-Cyrl-CS" w:eastAsia="sr-Latn-BA"/>
        </w:rPr>
        <w:t xml:space="preserve"> ministara</w:t>
      </w:r>
      <w:r w:rsidR="00C079EA">
        <w:rPr>
          <w:lang w:val="sr-Latn-BA" w:eastAsia="sr-Latn-BA"/>
        </w:rPr>
        <w:t xml:space="preserve"> </w:t>
      </w:r>
      <w:r>
        <w:rPr>
          <w:lang w:val="sr-Latn-BA" w:eastAsia="sr-Latn-BA"/>
        </w:rPr>
        <w:t xml:space="preserve">BiH </w:t>
      </w:r>
      <w:r w:rsidR="0005161F">
        <w:rPr>
          <w:lang w:val="sr-Cyrl-CS" w:eastAsia="sr-Latn-BA"/>
        </w:rPr>
        <w:t>donijelo</w:t>
      </w:r>
      <w:r>
        <w:rPr>
          <w:lang w:val="sr-Cyrl-CS" w:eastAsia="sr-Latn-BA"/>
        </w:rPr>
        <w:t xml:space="preserve"> konačnu odluku o kvoti radnih dozvola u </w:t>
      </w:r>
      <w:r>
        <w:rPr>
          <w:lang w:eastAsia="sr-Latn-BA"/>
        </w:rPr>
        <w:t>BiH</w:t>
      </w:r>
      <w:r>
        <w:rPr>
          <w:lang w:val="sr-Cyrl-CS" w:eastAsia="sr-Latn-BA"/>
        </w:rPr>
        <w:t>.</w:t>
      </w:r>
    </w:p>
    <w:p w14:paraId="176E78E5" w14:textId="77777777" w:rsidR="00765CE7" w:rsidRDefault="00765CE7">
      <w:pPr>
        <w:rPr>
          <w:lang w:val="sr-Cyrl-CS" w:eastAsia="sr-Latn-BA"/>
        </w:rPr>
      </w:pPr>
    </w:p>
    <w:p w14:paraId="0420B074" w14:textId="77777777" w:rsidR="00765CE7" w:rsidRDefault="00B80ACE">
      <w:pPr>
        <w:rPr>
          <w:lang w:eastAsia="sr-Latn-BA"/>
        </w:rPr>
      </w:pPr>
      <w:r>
        <w:rPr>
          <w:lang w:eastAsia="sr-Latn-BA"/>
        </w:rPr>
        <w:t xml:space="preserve">Filijala Zavoda ne može izdati radnu dozvolu ako na evidenciji nezaposlenih u birou prema sjedištu poslodavca ima nezaposlenih lica odgovarajuće stručne spreme, koja ispunjavaju uslove tražene zahtjevom, osim u slučajevima ako nezaposlena lica sa evidencije odbiju zaposlenje u traženoj struci.  </w:t>
      </w:r>
    </w:p>
    <w:p w14:paraId="70D9988B" w14:textId="77777777" w:rsidR="00765CE7" w:rsidRDefault="00765CE7" w:rsidP="007B35D5">
      <w:pPr>
        <w:ind w:left="0" w:firstLine="0"/>
        <w:rPr>
          <w:lang w:eastAsia="sr-Latn-BA"/>
        </w:rPr>
      </w:pPr>
    </w:p>
    <w:p w14:paraId="66BDFC96" w14:textId="32C0CEEC" w:rsidR="00765CE7" w:rsidRDefault="00B80ACE">
      <w:pPr>
        <w:ind w:left="0" w:firstLine="0"/>
        <w:rPr>
          <w:bCs/>
          <w:lang w:eastAsia="sr-Latn-BA"/>
        </w:rPr>
      </w:pPr>
      <w:r>
        <w:rPr>
          <w:lang w:eastAsia="sr-Latn-BA"/>
        </w:rPr>
        <w:t xml:space="preserve">Shodno odredbama Zakona o zapošljavanju stranaca u Brčko </w:t>
      </w:r>
      <w:r w:rsidR="006143F0">
        <w:rPr>
          <w:lang w:eastAsia="sr-Latn-BA"/>
        </w:rPr>
        <w:t xml:space="preserve">Distriktu </w:t>
      </w:r>
      <w:r>
        <w:rPr>
          <w:lang w:eastAsia="sr-Latn-BA"/>
        </w:rPr>
        <w:t xml:space="preserve">BiH, Zavod za zapošljavanje Brčko </w:t>
      </w:r>
      <w:r w:rsidR="006143F0">
        <w:rPr>
          <w:lang w:eastAsia="sr-Latn-BA"/>
        </w:rPr>
        <w:t xml:space="preserve">Distrikta </w:t>
      </w:r>
      <w:r>
        <w:rPr>
          <w:lang w:eastAsia="sr-Latn-BA"/>
        </w:rPr>
        <w:t xml:space="preserve">BiH je nadležan organ za izdavanje radnih dozvola za rad stranaca u Brčko </w:t>
      </w:r>
      <w:r w:rsidR="006143F0">
        <w:rPr>
          <w:lang w:eastAsia="sr-Latn-BA"/>
        </w:rPr>
        <w:t xml:space="preserve">Distriktu </w:t>
      </w:r>
      <w:r>
        <w:rPr>
          <w:lang w:eastAsia="sr-Latn-BA"/>
        </w:rPr>
        <w:t>BiH.</w:t>
      </w:r>
      <w:r>
        <w:rPr>
          <w:bCs/>
          <w:lang w:eastAsia="sr-Latn-BA"/>
        </w:rPr>
        <w:t xml:space="preserve"> Zakonom je definisano da Zavod za zapošljavanje Brčko </w:t>
      </w:r>
      <w:r w:rsidR="006143F0">
        <w:rPr>
          <w:bCs/>
          <w:lang w:eastAsia="sr-Latn-BA"/>
        </w:rPr>
        <w:t xml:space="preserve">Distrikta </w:t>
      </w:r>
      <w:r>
        <w:rPr>
          <w:bCs/>
          <w:lang w:eastAsia="sr-Latn-BA"/>
        </w:rPr>
        <w:t xml:space="preserve">BiH ne može izdati stranom državljaninu radnu dozvolu ako na evidenciji nezaposlenih lica u Brčko </w:t>
      </w:r>
      <w:r w:rsidR="006143F0">
        <w:rPr>
          <w:bCs/>
          <w:lang w:eastAsia="sr-Latn-BA"/>
        </w:rPr>
        <w:t xml:space="preserve">Distriktu </w:t>
      </w:r>
      <w:r>
        <w:rPr>
          <w:bCs/>
          <w:lang w:eastAsia="sr-Latn-BA"/>
        </w:rPr>
        <w:t>BiH ima lica koja ispunjavaju uslove koje zahtijeva poslodavac, osim ako se radi o stranom ulagaču ili osnivaču preduzeća sa sjedištem u Distriktu, kome Zavod za zapošljavanje izdaje radnu dozvolu, bez obzira da li na evidenciji ima nezaposlenih lica koji ispunjavaju uslove tražene zahtjevom za izdavanje radne dozvole.</w:t>
      </w:r>
    </w:p>
    <w:p w14:paraId="7D134290" w14:textId="77777777" w:rsidR="007B35D5" w:rsidRDefault="007B35D5" w:rsidP="00D27213">
      <w:pPr>
        <w:ind w:left="0" w:firstLine="0"/>
        <w:rPr>
          <w:bCs/>
          <w:lang w:val="en-US"/>
        </w:rPr>
      </w:pPr>
    </w:p>
    <w:p w14:paraId="6840F780" w14:textId="77777777" w:rsidR="00765CE7" w:rsidRDefault="00B80ACE">
      <w:pPr>
        <w:pStyle w:val="Heading1"/>
        <w:numPr>
          <w:ilvl w:val="0"/>
          <w:numId w:val="1"/>
        </w:numPr>
      </w:pPr>
      <w:bookmarkStart w:id="4" w:name="_Toc14212"/>
      <w:bookmarkStart w:id="5" w:name="_Toc28010130"/>
      <w:r>
        <w:lastRenderedPageBreak/>
        <w:t>INSTITUCIONALNI OKVIR</w:t>
      </w:r>
      <w:bookmarkEnd w:id="4"/>
      <w:bookmarkEnd w:id="5"/>
    </w:p>
    <w:p w14:paraId="1F63D181" w14:textId="66A6F69E" w:rsidR="00765CE7" w:rsidRDefault="00B80ACE">
      <w:pPr>
        <w:spacing w:after="0" w:line="240" w:lineRule="auto"/>
        <w:ind w:firstLine="0"/>
        <w:rPr>
          <w:b/>
          <w:szCs w:val="24"/>
        </w:rPr>
      </w:pPr>
      <w:bookmarkStart w:id="6" w:name="_Toc14213"/>
      <w:r>
        <w:rPr>
          <w:szCs w:val="24"/>
        </w:rPr>
        <w:t>Kada je u pitanju sektor zapošljavanja, pravni i institucionalni okvir reflektuje ustavno-pravn</w:t>
      </w:r>
      <w:r w:rsidR="00A0303B">
        <w:rPr>
          <w:szCs w:val="24"/>
        </w:rPr>
        <w:t>o</w:t>
      </w:r>
      <w:r>
        <w:rPr>
          <w:szCs w:val="24"/>
        </w:rPr>
        <w:t xml:space="preserve"> i administrativn</w:t>
      </w:r>
      <w:r w:rsidR="009806D5">
        <w:rPr>
          <w:szCs w:val="24"/>
        </w:rPr>
        <w:t>o</w:t>
      </w:r>
      <w:r>
        <w:rPr>
          <w:szCs w:val="24"/>
        </w:rPr>
        <w:t xml:space="preserve"> </w:t>
      </w:r>
      <w:r w:rsidR="00A0303B">
        <w:rPr>
          <w:szCs w:val="24"/>
        </w:rPr>
        <w:t>ure</w:t>
      </w:r>
      <w:r w:rsidR="00B63DF5">
        <w:rPr>
          <w:szCs w:val="24"/>
        </w:rPr>
        <w:t>đ</w:t>
      </w:r>
      <w:r w:rsidR="00A0303B">
        <w:rPr>
          <w:szCs w:val="24"/>
        </w:rPr>
        <w:t xml:space="preserve">enje </w:t>
      </w:r>
      <w:r>
        <w:rPr>
          <w:szCs w:val="24"/>
        </w:rPr>
        <w:t>Bosne i Hercegovine gdje je i zakonodavstvo i njegova primjena podijeljena na više nivoa vlasti, od kojih svaki nivo vlasti ima određene nadležnosti.</w:t>
      </w:r>
    </w:p>
    <w:p w14:paraId="5368F9D5" w14:textId="77777777" w:rsidR="00765CE7" w:rsidRDefault="00765CE7">
      <w:pPr>
        <w:spacing w:line="240" w:lineRule="auto"/>
        <w:rPr>
          <w:szCs w:val="24"/>
        </w:rPr>
      </w:pPr>
    </w:p>
    <w:p w14:paraId="766FB885" w14:textId="66E6A3B7" w:rsidR="004D0C87" w:rsidRDefault="004D0C87" w:rsidP="004D0C87">
      <w:pPr>
        <w:spacing w:line="240" w:lineRule="auto"/>
        <w:ind w:firstLine="0"/>
        <w:rPr>
          <w:szCs w:val="24"/>
          <w:lang w:val="bs-Cyrl-BA"/>
        </w:rPr>
      </w:pPr>
      <w:r>
        <w:rPr>
          <w:szCs w:val="24"/>
        </w:rPr>
        <w:t>U skladu sa Ustavom B</w:t>
      </w:r>
      <w:r w:rsidR="006766BC">
        <w:rPr>
          <w:szCs w:val="24"/>
        </w:rPr>
        <w:t xml:space="preserve">osne </w:t>
      </w:r>
      <w:r>
        <w:rPr>
          <w:szCs w:val="24"/>
        </w:rPr>
        <w:t>i</w:t>
      </w:r>
      <w:r w:rsidR="006766BC">
        <w:rPr>
          <w:szCs w:val="24"/>
        </w:rPr>
        <w:t xml:space="preserve"> </w:t>
      </w:r>
      <w:r>
        <w:rPr>
          <w:szCs w:val="24"/>
        </w:rPr>
        <w:t>H</w:t>
      </w:r>
      <w:r w:rsidR="006766BC">
        <w:rPr>
          <w:szCs w:val="24"/>
        </w:rPr>
        <w:t>ercegovine</w:t>
      </w:r>
      <w:r>
        <w:rPr>
          <w:szCs w:val="24"/>
          <w:lang w:val="bs-Cyrl-BA"/>
        </w:rPr>
        <w:t>,</w:t>
      </w:r>
      <w:r>
        <w:rPr>
          <w:szCs w:val="24"/>
        </w:rPr>
        <w:t xml:space="preserve"> </w:t>
      </w:r>
      <w:r>
        <w:rPr>
          <w:szCs w:val="24"/>
          <w:lang w:val="bs-Cyrl-BA"/>
        </w:rPr>
        <w:t xml:space="preserve">Federacija </w:t>
      </w:r>
      <w:r>
        <w:rPr>
          <w:szCs w:val="24"/>
        </w:rPr>
        <w:t>BiH</w:t>
      </w:r>
      <w:r w:rsidR="00067D19">
        <w:rPr>
          <w:szCs w:val="24"/>
        </w:rPr>
        <w:t>,</w:t>
      </w:r>
      <w:r>
        <w:rPr>
          <w:szCs w:val="24"/>
        </w:rPr>
        <w:t xml:space="preserve"> </w:t>
      </w:r>
      <w:r w:rsidR="00067D19">
        <w:rPr>
          <w:szCs w:val="24"/>
          <w:lang w:val="bs-Cyrl-BA"/>
        </w:rPr>
        <w:t>Republika Srpska</w:t>
      </w:r>
      <w:r w:rsidR="00067D19">
        <w:rPr>
          <w:szCs w:val="24"/>
        </w:rPr>
        <w:t xml:space="preserve"> </w:t>
      </w:r>
      <w:r>
        <w:rPr>
          <w:szCs w:val="24"/>
          <w:lang w:val="bs-Cyrl-BA"/>
        </w:rPr>
        <w:t xml:space="preserve">i Brčko </w:t>
      </w:r>
      <w:r w:rsidR="006143F0">
        <w:rPr>
          <w:szCs w:val="24"/>
        </w:rPr>
        <w:t xml:space="preserve">Distrikt </w:t>
      </w:r>
      <w:r>
        <w:rPr>
          <w:szCs w:val="24"/>
        </w:rPr>
        <w:t>BiH su nadležni za oblasti rada i zapošljavanja.</w:t>
      </w:r>
    </w:p>
    <w:p w14:paraId="3706C792" w14:textId="77777777" w:rsidR="004D0C87" w:rsidRDefault="004D0C87" w:rsidP="004D0C87">
      <w:pPr>
        <w:spacing w:line="240" w:lineRule="auto"/>
        <w:rPr>
          <w:szCs w:val="24"/>
          <w:lang w:val="bs-Cyrl-BA"/>
        </w:rPr>
      </w:pPr>
    </w:p>
    <w:p w14:paraId="6F990043" w14:textId="70E11677" w:rsidR="00EE1FC7" w:rsidRDefault="004D0C87" w:rsidP="00EE1FC7">
      <w:pPr>
        <w:spacing w:line="240" w:lineRule="auto"/>
        <w:ind w:firstLine="0"/>
        <w:rPr>
          <w:szCs w:val="24"/>
          <w:lang w:val="sr-Latn-BA"/>
        </w:rPr>
      </w:pPr>
      <w:r>
        <w:rPr>
          <w:szCs w:val="24"/>
          <w:lang w:val="bs-Cyrl-BA"/>
        </w:rPr>
        <w:t xml:space="preserve">Ministarstvo civilnih poslova </w:t>
      </w:r>
      <w:r>
        <w:rPr>
          <w:szCs w:val="24"/>
        </w:rPr>
        <w:t>BiH</w:t>
      </w:r>
      <w:r>
        <w:rPr>
          <w:szCs w:val="24"/>
          <w:lang w:val="bs-Cyrl-BA"/>
        </w:rPr>
        <w:t>, između ostalog, nadležno je za pripremanje i izvršavanje propisa, utvrđivanje osnovnih principa koordinacije aktivnosti, usklađivanja planova entitetskih tijela vlasti i definisanje strategije na međunarodnom planu u područjima rada i zapošljavanja</w:t>
      </w:r>
      <w:r>
        <w:rPr>
          <w:szCs w:val="24"/>
        </w:rPr>
        <w:t>, u skladu sa članom 15. Zakona o ministarstvima i drugim organima uprave Bosne i Hercegovine („Službeni glasnik BiH“, br. 5/03, 42/03, 26/04, 42/04, 45/06, 88/07, 35/09, 59/09,</w:t>
      </w:r>
      <w:r>
        <w:rPr>
          <w:szCs w:val="24"/>
          <w:lang w:val="sr-Latn-BA"/>
        </w:rPr>
        <w:t xml:space="preserve"> 103/09, 87/12, 6/13, 19/16, 83/17).</w:t>
      </w:r>
    </w:p>
    <w:p w14:paraId="128B37CE" w14:textId="77777777" w:rsidR="00180B2E" w:rsidRPr="00EE1FC7" w:rsidRDefault="00180B2E" w:rsidP="00EE1FC7">
      <w:pPr>
        <w:spacing w:line="240" w:lineRule="auto"/>
        <w:ind w:firstLine="0"/>
        <w:rPr>
          <w:szCs w:val="24"/>
          <w:lang w:val="sr-Latn-BA"/>
        </w:rPr>
      </w:pPr>
    </w:p>
    <w:p w14:paraId="60D2FF63" w14:textId="293B2E1F" w:rsidR="00C16612" w:rsidRDefault="00364588" w:rsidP="004D0C87">
      <w:pPr>
        <w:ind w:left="0" w:firstLine="0"/>
        <w:rPr>
          <w:bCs/>
          <w:lang w:eastAsia="sr-Latn-BA"/>
        </w:rPr>
      </w:pPr>
      <w:r w:rsidRPr="004D0C87">
        <w:rPr>
          <w:color w:val="auto"/>
          <w:szCs w:val="24"/>
        </w:rPr>
        <w:t>U</w:t>
      </w:r>
      <w:r w:rsidR="00747039" w:rsidRPr="004D0C87">
        <w:rPr>
          <w:color w:val="auto"/>
          <w:szCs w:val="24"/>
        </w:rPr>
        <w:t xml:space="preserve"> skladu sa Zakonom o ministars</w:t>
      </w:r>
      <w:r w:rsidR="002C2D26" w:rsidRPr="004D0C87">
        <w:rPr>
          <w:color w:val="auto"/>
          <w:szCs w:val="24"/>
        </w:rPr>
        <w:t>t</w:t>
      </w:r>
      <w:r w:rsidR="00747039" w:rsidRPr="004D0C87">
        <w:rPr>
          <w:color w:val="auto"/>
          <w:szCs w:val="24"/>
        </w:rPr>
        <w:t xml:space="preserve">vima </w:t>
      </w:r>
      <w:r w:rsidR="00747039" w:rsidRPr="004D0C87">
        <w:rPr>
          <w:bCs/>
          <w:color w:val="auto"/>
          <w:szCs w:val="24"/>
        </w:rPr>
        <w:t xml:space="preserve">i drugim organima uprave Bosne i Hercegovine </w:t>
      </w:r>
      <w:r w:rsidR="00747039" w:rsidRPr="004D0C87">
        <w:rPr>
          <w:color w:val="auto"/>
          <w:szCs w:val="24"/>
        </w:rPr>
        <w:t>Ministarstvo sigurnosti</w:t>
      </w:r>
      <w:r w:rsidR="002F11EB">
        <w:rPr>
          <w:color w:val="auto"/>
          <w:szCs w:val="24"/>
        </w:rPr>
        <w:t xml:space="preserve"> BiH</w:t>
      </w:r>
      <w:r w:rsidR="00747039" w:rsidRPr="004D0C87">
        <w:rPr>
          <w:color w:val="auto"/>
          <w:szCs w:val="24"/>
        </w:rPr>
        <w:t xml:space="preserve"> nadležno je da k</w:t>
      </w:r>
      <w:r w:rsidR="00747039" w:rsidRPr="004D0C87">
        <w:rPr>
          <w:iCs/>
          <w:color w:val="auto"/>
          <w:szCs w:val="24"/>
        </w:rPr>
        <w:t>reira, stara se i provodi politiku useljavanja i azila u BiH</w:t>
      </w:r>
      <w:r w:rsidRPr="004D0C87">
        <w:rPr>
          <w:iCs/>
          <w:color w:val="auto"/>
          <w:szCs w:val="24"/>
        </w:rPr>
        <w:t>.</w:t>
      </w:r>
      <w:r w:rsidR="004D0C87">
        <w:rPr>
          <w:iCs/>
          <w:color w:val="auto"/>
          <w:szCs w:val="24"/>
        </w:rPr>
        <w:t xml:space="preserve"> </w:t>
      </w:r>
      <w:r w:rsidR="00254764" w:rsidRPr="004D0C87">
        <w:rPr>
          <w:bCs/>
          <w:color w:val="auto"/>
          <w:lang w:eastAsia="sr-Latn-BA"/>
        </w:rPr>
        <w:t xml:space="preserve">Služba za poslove sa strancima </w:t>
      </w:r>
      <w:r w:rsidR="00254764" w:rsidRPr="004D0C87">
        <w:rPr>
          <w:color w:val="auto"/>
        </w:rPr>
        <w:t>je upravna organizacija u sastavu Ministarstva sigurnosti</w:t>
      </w:r>
      <w:r w:rsidR="002F11EB">
        <w:rPr>
          <w:color w:val="auto"/>
        </w:rPr>
        <w:t xml:space="preserve"> BiH</w:t>
      </w:r>
      <w:r w:rsidR="00CC25C2">
        <w:rPr>
          <w:color w:val="auto"/>
        </w:rPr>
        <w:t>, sa operativnom samostalnošć</w:t>
      </w:r>
      <w:r w:rsidR="00254764" w:rsidRPr="004D0C87">
        <w:rPr>
          <w:color w:val="auto"/>
        </w:rPr>
        <w:t>u za vo</w:t>
      </w:r>
      <w:r w:rsidR="00EE1FC7">
        <w:rPr>
          <w:color w:val="auto"/>
        </w:rPr>
        <w:t>đ</w:t>
      </w:r>
      <w:r w:rsidR="00254764" w:rsidRPr="004D0C87">
        <w:rPr>
          <w:color w:val="auto"/>
        </w:rPr>
        <w:t>enje poslova i rješavanja pitanja iz nadležnosti, osnovana radi obavljanja administrativno-upravnih i inspekcijskih poslova propisanih Zakonom o</w:t>
      </w:r>
      <w:r w:rsidR="00F11B4A">
        <w:rPr>
          <w:color w:val="auto"/>
        </w:rPr>
        <w:t xml:space="preserve"> </w:t>
      </w:r>
      <w:r w:rsidR="00BE0DD2">
        <w:rPr>
          <w:color w:val="auto"/>
        </w:rPr>
        <w:t>strancima</w:t>
      </w:r>
      <w:r w:rsidR="00254764" w:rsidRPr="004D0C87">
        <w:rPr>
          <w:color w:val="auto"/>
        </w:rPr>
        <w:t xml:space="preserve">. </w:t>
      </w:r>
      <w:r w:rsidR="00254764">
        <w:rPr>
          <w:bCs/>
          <w:lang w:eastAsia="sr-Latn-BA"/>
        </w:rPr>
        <w:t xml:space="preserve">Služba za poslove sa strancima </w:t>
      </w:r>
      <w:r w:rsidR="00C16612">
        <w:rPr>
          <w:bCs/>
          <w:lang w:eastAsia="sr-Latn-BA"/>
        </w:rPr>
        <w:t>ima osnovne organizacione jedinice van sjedišta Službe</w:t>
      </w:r>
      <w:r w:rsidR="001E68E2">
        <w:rPr>
          <w:bCs/>
          <w:lang w:eastAsia="sr-Latn-BA"/>
        </w:rPr>
        <w:t xml:space="preserve"> </w:t>
      </w:r>
      <w:r w:rsidR="005C0539">
        <w:rPr>
          <w:bCs/>
          <w:lang w:eastAsia="sr-Latn-BA"/>
        </w:rPr>
        <w:t>-</w:t>
      </w:r>
      <w:r w:rsidR="001E68E2">
        <w:rPr>
          <w:bCs/>
          <w:lang w:eastAsia="sr-Latn-BA"/>
        </w:rPr>
        <w:t xml:space="preserve"> </w:t>
      </w:r>
      <w:r w:rsidR="00C16612">
        <w:rPr>
          <w:bCs/>
          <w:lang w:eastAsia="sr-Latn-BA"/>
        </w:rPr>
        <w:t>terenski centri</w:t>
      </w:r>
      <w:r w:rsidR="004D0C87">
        <w:rPr>
          <w:bCs/>
          <w:lang w:eastAsia="sr-Latn-BA"/>
        </w:rPr>
        <w:t>.</w:t>
      </w:r>
      <w:r w:rsidR="005C0539">
        <w:rPr>
          <w:bCs/>
          <w:lang w:eastAsia="sr-Latn-BA"/>
        </w:rPr>
        <w:t xml:space="preserve"> </w:t>
      </w:r>
      <w:r w:rsidR="00C16612">
        <w:rPr>
          <w:bCs/>
          <w:lang w:eastAsia="sr-Latn-BA"/>
        </w:rPr>
        <w:t>Terenski centri, između ostalog</w:t>
      </w:r>
      <w:r w:rsidR="004D0C87">
        <w:rPr>
          <w:bCs/>
          <w:lang w:eastAsia="sr-Latn-BA"/>
        </w:rPr>
        <w:t>,</w:t>
      </w:r>
      <w:r w:rsidR="00C16612">
        <w:rPr>
          <w:bCs/>
          <w:lang w:eastAsia="sr-Latn-BA"/>
        </w:rPr>
        <w:t xml:space="preserve"> obavljaju poslove inspekcijskog nadzora nad sprovodenjem zakonskih odredaba koje regulišu pitanja kretanja, boravka i zapošljavanja stranaca. </w:t>
      </w:r>
      <w:r w:rsidR="00AE153D" w:rsidRPr="005E79C1">
        <w:rPr>
          <w:bCs/>
          <w:lang w:eastAsia="sr-Latn-BA"/>
        </w:rPr>
        <w:t xml:space="preserve">Inspekcije rada u entitetima i Brčko Distriktu BiH dužni su da sarađuju sa </w:t>
      </w:r>
      <w:r w:rsidR="00C16612" w:rsidRPr="005E79C1">
        <w:rPr>
          <w:bCs/>
          <w:lang w:eastAsia="sr-Latn-BA"/>
        </w:rPr>
        <w:t>Služb</w:t>
      </w:r>
      <w:r w:rsidR="00AE153D" w:rsidRPr="005E79C1">
        <w:rPr>
          <w:bCs/>
          <w:lang w:eastAsia="sr-Latn-BA"/>
        </w:rPr>
        <w:t>om</w:t>
      </w:r>
      <w:r w:rsidR="00566F07" w:rsidRPr="005E79C1">
        <w:rPr>
          <w:bCs/>
          <w:lang w:eastAsia="sr-Latn-BA"/>
        </w:rPr>
        <w:t xml:space="preserve"> i pružaju potrebnu pomoć u obavljanju poslova iz  njene nadležnosti, u skladu sa zakonom i drugim propisima.</w:t>
      </w:r>
    </w:p>
    <w:p w14:paraId="7FCFF5BB" w14:textId="77777777" w:rsidR="00765CE7" w:rsidRPr="00F308F4" w:rsidRDefault="00765CE7" w:rsidP="00F308F4">
      <w:pPr>
        <w:spacing w:line="240" w:lineRule="auto"/>
        <w:ind w:left="0" w:firstLine="0"/>
        <w:rPr>
          <w:szCs w:val="24"/>
        </w:rPr>
      </w:pPr>
    </w:p>
    <w:p w14:paraId="3239E509" w14:textId="4D8050E1" w:rsidR="00796CB4" w:rsidRDefault="00B80ACE" w:rsidP="00796CB4">
      <w:pPr>
        <w:spacing w:line="240" w:lineRule="auto"/>
        <w:ind w:firstLine="0"/>
        <w:rPr>
          <w:color w:val="auto"/>
          <w:szCs w:val="24"/>
          <w:lang w:val="sr-Latn-BA"/>
        </w:rPr>
      </w:pPr>
      <w:r>
        <w:rPr>
          <w:szCs w:val="24"/>
          <w:lang w:val="bs-Cyrl-BA"/>
        </w:rPr>
        <w:t xml:space="preserve">Agencija za rad i zapošljavanje </w:t>
      </w:r>
      <w:r>
        <w:rPr>
          <w:szCs w:val="24"/>
        </w:rPr>
        <w:t xml:space="preserve">BiH </w:t>
      </w:r>
      <w:r>
        <w:rPr>
          <w:szCs w:val="24"/>
          <w:lang w:val="bs-Cyrl-BA"/>
        </w:rPr>
        <w:t>u oblasti zapošljavanja</w:t>
      </w:r>
      <w:r>
        <w:rPr>
          <w:szCs w:val="24"/>
          <w:lang w:val="sr-Latn-BA"/>
        </w:rPr>
        <w:t>, pored ostalog,</w:t>
      </w:r>
      <w:r>
        <w:rPr>
          <w:szCs w:val="24"/>
          <w:lang w:val="bs-Cyrl-BA"/>
        </w:rPr>
        <w:t xml:space="preserve"> prikuplja strane i domaće zahtjeve i informacije o ponudi i potražnji domaće i strane radne snage i u saradnji sa zavodima za zapošljavanje </w:t>
      </w:r>
      <w:r>
        <w:rPr>
          <w:szCs w:val="24"/>
        </w:rPr>
        <w:t xml:space="preserve">u </w:t>
      </w:r>
      <w:r>
        <w:rPr>
          <w:szCs w:val="24"/>
          <w:lang w:val="bs-Cyrl-BA"/>
        </w:rPr>
        <w:t>Republici Srpskoj</w:t>
      </w:r>
      <w:r>
        <w:rPr>
          <w:szCs w:val="24"/>
        </w:rPr>
        <w:t>,</w:t>
      </w:r>
      <w:r>
        <w:rPr>
          <w:szCs w:val="24"/>
          <w:lang w:val="bs-Cyrl-BA"/>
        </w:rPr>
        <w:t xml:space="preserve"> Federaciji </w:t>
      </w:r>
      <w:r>
        <w:rPr>
          <w:szCs w:val="24"/>
        </w:rPr>
        <w:t xml:space="preserve">BiH </w:t>
      </w:r>
      <w:r>
        <w:rPr>
          <w:szCs w:val="24"/>
          <w:lang w:val="bs-Cyrl-BA"/>
        </w:rPr>
        <w:t xml:space="preserve">i Brčko </w:t>
      </w:r>
      <w:r w:rsidR="006143F0">
        <w:rPr>
          <w:szCs w:val="24"/>
        </w:rPr>
        <w:t xml:space="preserve">Distriktu </w:t>
      </w:r>
      <w:r>
        <w:rPr>
          <w:szCs w:val="24"/>
          <w:lang w:val="bs-Cyrl-BA"/>
        </w:rPr>
        <w:t xml:space="preserve">BiH </w:t>
      </w:r>
      <w:r>
        <w:rPr>
          <w:szCs w:val="24"/>
          <w:lang w:val="sr-Latn-BA"/>
        </w:rPr>
        <w:t>realizuje ih u granicama svojih nadležnosti i mogućnosti tržišta rada u BiH</w:t>
      </w:r>
      <w:r>
        <w:rPr>
          <w:szCs w:val="24"/>
          <w:lang w:val="bs-Cyrl-BA"/>
        </w:rPr>
        <w:t xml:space="preserve">, </w:t>
      </w:r>
      <w:r>
        <w:rPr>
          <w:szCs w:val="24"/>
        </w:rPr>
        <w:t xml:space="preserve">te </w:t>
      </w:r>
      <w:r>
        <w:rPr>
          <w:szCs w:val="24"/>
          <w:lang w:val="sr-Latn-BA"/>
        </w:rPr>
        <w:t xml:space="preserve">u saradnji sa zavodima za zapošljavanje entiteta i Brčko </w:t>
      </w:r>
      <w:r w:rsidR="006143F0">
        <w:rPr>
          <w:szCs w:val="24"/>
          <w:lang w:val="sr-Latn-BA"/>
        </w:rPr>
        <w:t xml:space="preserve">Distrikta </w:t>
      </w:r>
      <w:r>
        <w:rPr>
          <w:szCs w:val="24"/>
          <w:lang w:val="sr-Latn-BA"/>
        </w:rPr>
        <w:t xml:space="preserve">BiH daje resornom ministarstvu, </w:t>
      </w:r>
      <w:r>
        <w:rPr>
          <w:szCs w:val="24"/>
          <w:lang w:val="bs-Cyrl-BA"/>
        </w:rPr>
        <w:t xml:space="preserve">Ministarstvu civilnih poslova </w:t>
      </w:r>
      <w:r>
        <w:rPr>
          <w:szCs w:val="24"/>
        </w:rPr>
        <w:t>BiH,</w:t>
      </w:r>
      <w:r>
        <w:rPr>
          <w:szCs w:val="24"/>
          <w:lang w:val="sr-Latn-BA"/>
        </w:rPr>
        <w:t xml:space="preserve"> mišljenje i prijedloge za zapošljavanje stranaca u BiH (kvote)</w:t>
      </w:r>
      <w:r>
        <w:rPr>
          <w:szCs w:val="24"/>
          <w:lang w:val="bs-Cyrl-BA"/>
        </w:rPr>
        <w:t>.</w:t>
      </w:r>
      <w:r>
        <w:rPr>
          <w:szCs w:val="24"/>
        </w:rPr>
        <w:t xml:space="preserve"> </w:t>
      </w:r>
      <w:r>
        <w:rPr>
          <w:color w:val="auto"/>
          <w:szCs w:val="24"/>
        </w:rPr>
        <w:t>Takođe</w:t>
      </w:r>
      <w:r>
        <w:rPr>
          <w:color w:val="auto"/>
          <w:szCs w:val="24"/>
          <w:lang w:val="bs-Cyrl-BA"/>
        </w:rPr>
        <w:t xml:space="preserve">, u skladu sa svojim zakonskim ovlaštenjima u koordinaciji na tržištu rada u </w:t>
      </w:r>
      <w:r>
        <w:rPr>
          <w:color w:val="auto"/>
          <w:szCs w:val="24"/>
        </w:rPr>
        <w:t>BiH</w:t>
      </w:r>
      <w:r>
        <w:rPr>
          <w:color w:val="auto"/>
          <w:szCs w:val="24"/>
          <w:lang w:val="bs-Cyrl-BA"/>
        </w:rPr>
        <w:t xml:space="preserve">, učestvuje </w:t>
      </w:r>
      <w:r>
        <w:rPr>
          <w:color w:val="auto"/>
          <w:szCs w:val="24"/>
        </w:rPr>
        <w:t>i</w:t>
      </w:r>
      <w:r>
        <w:rPr>
          <w:color w:val="auto"/>
          <w:szCs w:val="24"/>
          <w:lang w:val="bs-Cyrl-BA"/>
        </w:rPr>
        <w:t xml:space="preserve"> u proceduri izdavanja saglasnosti za sezonsko zapošljavanje i proceduri za visokokvalificirano zapošljavanje (Plava karta), </w:t>
      </w:r>
      <w:r>
        <w:rPr>
          <w:color w:val="auto"/>
          <w:szCs w:val="24"/>
        </w:rPr>
        <w:t xml:space="preserve">te učestvuje u proceduri </w:t>
      </w:r>
      <w:r>
        <w:rPr>
          <w:color w:val="auto"/>
          <w:szCs w:val="24"/>
          <w:lang w:val="bs-Cyrl-BA"/>
        </w:rPr>
        <w:t xml:space="preserve">izvještavanja o izdatim radnim dozvolama </w:t>
      </w:r>
      <w:r w:rsidR="00173D35">
        <w:rPr>
          <w:color w:val="auto"/>
          <w:szCs w:val="24"/>
        </w:rPr>
        <w:t xml:space="preserve">strancima </w:t>
      </w:r>
      <w:r>
        <w:rPr>
          <w:color w:val="auto"/>
          <w:szCs w:val="24"/>
          <w:lang w:val="bs-Cyrl-BA"/>
        </w:rPr>
        <w:t>u Bosni i Hercegovini.</w:t>
      </w:r>
      <w:r>
        <w:rPr>
          <w:color w:val="auto"/>
          <w:szCs w:val="24"/>
          <w:lang w:val="sr-Latn-BA"/>
        </w:rPr>
        <w:t xml:space="preserve"> </w:t>
      </w:r>
    </w:p>
    <w:p w14:paraId="13D591E6" w14:textId="77777777" w:rsidR="00796CB4" w:rsidRDefault="00796CB4" w:rsidP="00796CB4">
      <w:pPr>
        <w:spacing w:line="240" w:lineRule="auto"/>
        <w:ind w:firstLine="0"/>
        <w:rPr>
          <w:color w:val="auto"/>
          <w:szCs w:val="24"/>
          <w:lang w:val="sr-Latn-BA"/>
        </w:rPr>
      </w:pPr>
    </w:p>
    <w:p w14:paraId="3EC6074A" w14:textId="681CC18B" w:rsidR="00765CE7" w:rsidRPr="00796CB4" w:rsidRDefault="002F11EB" w:rsidP="00796CB4">
      <w:pPr>
        <w:spacing w:line="240" w:lineRule="auto"/>
        <w:ind w:firstLine="0"/>
        <w:rPr>
          <w:color w:val="auto"/>
          <w:szCs w:val="24"/>
          <w:lang w:val="sr-Latn-BA"/>
        </w:rPr>
      </w:pPr>
      <w:r w:rsidRPr="002F11EB">
        <w:rPr>
          <w:szCs w:val="24"/>
          <w:lang w:val="sr-Latn-BA"/>
        </w:rPr>
        <w:t>Federalno ministarstvo rada i socijalne politike vrši upravne, stručne i druge poslove utvrđene u zakonu koji se odnose na nadležnosti Federacije u oblasti: socijalne politike, rada, penzijskog i invalidskog osiguranja, i to: politiku rada i zapošljavanja, radne odnose i prava iz radnog odnosa, zaštitu na radu; penzijsko-invalidsko osiguranje; međunarodne konvencije u skladu sa Ustavom Bosne i Hercegovine, ugovori i bilateralni sporazumi iz oblasti rada i zapošljavanja; socijalnu sigurnost i solidarnost, zaštitu civilnih žrtava rata; zaštitu porodice, usvojenje i starateljstvo; socijalnu zaštitu i druge poslove</w:t>
      </w:r>
      <w:r w:rsidR="00A17600">
        <w:rPr>
          <w:szCs w:val="24"/>
          <w:lang w:val="sr-Latn-BA"/>
        </w:rPr>
        <w:t xml:space="preserve"> utvrđene zakonom,</w:t>
      </w:r>
      <w:r w:rsidR="00A17600" w:rsidRPr="00A17600">
        <w:t xml:space="preserve"> </w:t>
      </w:r>
      <w:r w:rsidR="00A17600">
        <w:t xml:space="preserve">u </w:t>
      </w:r>
      <w:r w:rsidR="00A17600" w:rsidRPr="00A17600">
        <w:rPr>
          <w:szCs w:val="24"/>
          <w:lang w:val="sr-Latn-BA"/>
        </w:rPr>
        <w:t>skladu sa Zakonom o federalnim ministarstvima i drugim tijelima federalne uprave („Službene novine Federacije BiH“, br. 58/02, 19/03, 38</w:t>
      </w:r>
      <w:r w:rsidR="00467D39">
        <w:rPr>
          <w:szCs w:val="24"/>
          <w:lang w:val="sr-Latn-BA"/>
        </w:rPr>
        <w:t>/05, 2/06, 8/06, 52/09 i 48/11).</w:t>
      </w:r>
    </w:p>
    <w:p w14:paraId="66E2E4D5" w14:textId="77777777" w:rsidR="00467D39" w:rsidRDefault="00467D39" w:rsidP="00F308F4">
      <w:pPr>
        <w:spacing w:line="240" w:lineRule="auto"/>
        <w:ind w:left="0" w:firstLine="0"/>
        <w:rPr>
          <w:szCs w:val="24"/>
          <w:lang w:val="sr-Latn-BA"/>
        </w:rPr>
      </w:pPr>
    </w:p>
    <w:p w14:paraId="275DA159" w14:textId="502BB547" w:rsidR="00F308F4" w:rsidRDefault="00467D39">
      <w:pPr>
        <w:spacing w:line="240" w:lineRule="auto"/>
        <w:rPr>
          <w:szCs w:val="24"/>
          <w:lang w:val="sr-Latn-BA"/>
        </w:rPr>
      </w:pPr>
      <w:r w:rsidRPr="00467D39">
        <w:rPr>
          <w:szCs w:val="24"/>
          <w:lang w:val="sr-Latn-BA"/>
        </w:rPr>
        <w:lastRenderedPageBreak/>
        <w:t xml:space="preserve">Ministarstvo rada i boračko-invalidske zaštite </w:t>
      </w:r>
      <w:r w:rsidR="00F90CF0">
        <w:rPr>
          <w:szCs w:val="24"/>
          <w:lang w:val="sr-Latn-BA"/>
        </w:rPr>
        <w:t xml:space="preserve">Republike Srpske </w:t>
      </w:r>
      <w:r w:rsidRPr="00467D39">
        <w:rPr>
          <w:szCs w:val="24"/>
          <w:lang w:val="sr-Latn-BA"/>
        </w:rPr>
        <w:t>obavlja upravne i druge stručne po</w:t>
      </w:r>
      <w:r w:rsidR="00F13860">
        <w:rPr>
          <w:szCs w:val="24"/>
          <w:lang w:val="sr-Latn-BA"/>
        </w:rPr>
        <w:t>s</w:t>
      </w:r>
      <w:r w:rsidRPr="00467D39">
        <w:rPr>
          <w:szCs w:val="24"/>
          <w:lang w:val="sr-Latn-BA"/>
        </w:rPr>
        <w:t>love, koji se odnose na: radne odnose radnika i njihova prava iz rada u svim oblicima rada, izuzev radnika koji imaju status državnih službenika, zarada i ostalih primanja po osnovu rada, zapošljavanje, profesionalnu rehabilitaciju, osposobljavanje i zapošljavanje invalida, zaštitu na radu, međunarodne konvencije iz oblasti rada, kolektivni ugovor, privremeno zapošljavanje radnika u inostranstvu u koordinaciji sa nadležnim organima BiH, ostvarivanje prava radnika privremeno zaposlenih u inostranstvu, njihov povratak i zapošljavanje, penzijsko i invalidsko osiguranje za sve oblike rada, saradnja sa drugim organima i organizacijama radi razvoja i unapređivanja evropskih integracionih procesa, zaštitu boraca, vojnih invalida i članova porodica poginulih boraca i umrlih vojnih invalida oslobodilačkih ratova, zaštitu civilnih invalida rata i članova porodica civilnih žrtava rata, upravne i druge poslove u vezi sa vojnim evidencijama učesnika Odbrambeno-otadžbinskog rata Republike Srpske, uređivanje i održavanje spomenika i spomen-obilježja i vojničkih grobova, obilježavanje važnih istorijskih događaja oslobodilačkih ratova, izradu zakonskih i podzakonskih akata iz nadležnosti Ministarstva, i druge poslove u skladu sa zakonom.</w:t>
      </w:r>
    </w:p>
    <w:p w14:paraId="10E34E69" w14:textId="77777777" w:rsidR="00AF112E" w:rsidRDefault="00AF112E">
      <w:pPr>
        <w:spacing w:line="240" w:lineRule="auto"/>
        <w:rPr>
          <w:szCs w:val="24"/>
          <w:lang w:val="sr-Latn-BA"/>
        </w:rPr>
      </w:pPr>
    </w:p>
    <w:p w14:paraId="3E592674" w14:textId="7CEE467C" w:rsidR="00AF112E" w:rsidRPr="00AF112E" w:rsidRDefault="00AF112E" w:rsidP="00AF112E">
      <w:pPr>
        <w:spacing w:line="240" w:lineRule="auto"/>
        <w:rPr>
          <w:szCs w:val="24"/>
          <w:lang w:val="sr-Latn-BA"/>
        </w:rPr>
      </w:pPr>
      <w:r w:rsidRPr="00AF112E">
        <w:rPr>
          <w:szCs w:val="24"/>
          <w:lang w:val="sr-Latn-BA"/>
        </w:rPr>
        <w:t>U skladu sa Zakonom o zapošljavanju i pravima za vrijeme nezaposlenosti u nadležnosti Vlade Brčk</w:t>
      </w:r>
      <w:r w:rsidR="00B07360">
        <w:rPr>
          <w:szCs w:val="24"/>
          <w:lang w:val="sr-Latn-BA"/>
        </w:rPr>
        <w:t>o</w:t>
      </w:r>
      <w:r w:rsidR="006766BC">
        <w:rPr>
          <w:szCs w:val="24"/>
          <w:lang w:val="sr-Latn-BA"/>
        </w:rPr>
        <w:t xml:space="preserve"> </w:t>
      </w:r>
      <w:r w:rsidR="006143F0">
        <w:rPr>
          <w:szCs w:val="24"/>
          <w:lang w:val="sr-Latn-BA"/>
        </w:rPr>
        <w:t xml:space="preserve">Distrikta </w:t>
      </w:r>
      <w:r w:rsidRPr="00AF112E">
        <w:rPr>
          <w:szCs w:val="24"/>
          <w:lang w:val="sr-Latn-BA"/>
        </w:rPr>
        <w:t xml:space="preserve">BiH je donošenje programa aktivne politike zapošljavanja. </w:t>
      </w:r>
    </w:p>
    <w:p w14:paraId="7B43D8CD" w14:textId="76EDD577" w:rsidR="00AF112E" w:rsidRDefault="006143F0" w:rsidP="00AF112E">
      <w:pPr>
        <w:spacing w:line="240" w:lineRule="auto"/>
        <w:rPr>
          <w:szCs w:val="24"/>
          <w:lang w:val="sr-Latn-BA"/>
        </w:rPr>
      </w:pPr>
      <w:r>
        <w:rPr>
          <w:szCs w:val="24"/>
          <w:lang w:val="sr-Latn-BA"/>
        </w:rPr>
        <w:t xml:space="preserve">Vlada Brčko </w:t>
      </w:r>
      <w:r w:rsidR="006766BC">
        <w:rPr>
          <w:szCs w:val="24"/>
          <w:lang w:val="sr-Latn-BA"/>
        </w:rPr>
        <w:t>D</w:t>
      </w:r>
      <w:r w:rsidR="00AF112E" w:rsidRPr="00AF112E">
        <w:rPr>
          <w:szCs w:val="24"/>
          <w:lang w:val="sr-Latn-BA"/>
        </w:rPr>
        <w:t>istrikta</w:t>
      </w:r>
      <w:r w:rsidR="001C1E71">
        <w:rPr>
          <w:szCs w:val="24"/>
          <w:lang w:val="sr-Latn-BA"/>
        </w:rPr>
        <w:t xml:space="preserve"> BiH</w:t>
      </w:r>
      <w:r w:rsidR="00AF112E" w:rsidRPr="00AF112E">
        <w:rPr>
          <w:szCs w:val="24"/>
          <w:lang w:val="sr-Latn-BA"/>
        </w:rPr>
        <w:t>, putem Inspekcije rada, vrši nadzor nad sprovođenjem Zakona o zapošljavanju i pravima za vrijeme nezaposlenosti i Zakona o z</w:t>
      </w:r>
      <w:r w:rsidR="000F6AB6">
        <w:rPr>
          <w:szCs w:val="24"/>
          <w:lang w:val="sr-Latn-BA"/>
        </w:rPr>
        <w:t>apo</w:t>
      </w:r>
      <w:r w:rsidR="006766BC">
        <w:rPr>
          <w:szCs w:val="24"/>
          <w:lang w:val="sr-Latn-BA"/>
        </w:rPr>
        <w:t xml:space="preserve">šljavanju stranaca u Brčko </w:t>
      </w:r>
      <w:r>
        <w:rPr>
          <w:szCs w:val="24"/>
          <w:lang w:val="sr-Latn-BA"/>
        </w:rPr>
        <w:t xml:space="preserve">Distriktu </w:t>
      </w:r>
      <w:r w:rsidR="00AF112E" w:rsidRPr="00AF112E">
        <w:rPr>
          <w:szCs w:val="24"/>
          <w:lang w:val="sr-Latn-BA"/>
        </w:rPr>
        <w:t>BiH.</w:t>
      </w:r>
    </w:p>
    <w:p w14:paraId="7C5A9CE3" w14:textId="77777777" w:rsidR="00467D39" w:rsidRDefault="00467D39">
      <w:pPr>
        <w:spacing w:line="240" w:lineRule="auto"/>
        <w:rPr>
          <w:color w:val="FF0000"/>
          <w:szCs w:val="24"/>
          <w:lang w:val="sr-Latn-BA"/>
        </w:rPr>
      </w:pPr>
    </w:p>
    <w:p w14:paraId="2887F6FB" w14:textId="35DDA187" w:rsidR="002A6980" w:rsidRPr="002A6980" w:rsidRDefault="002A6980" w:rsidP="002A6980">
      <w:pPr>
        <w:spacing w:line="240" w:lineRule="auto"/>
        <w:rPr>
          <w:color w:val="auto"/>
          <w:szCs w:val="24"/>
          <w:lang w:val="sr-Latn-BA"/>
        </w:rPr>
      </w:pPr>
      <w:r w:rsidRPr="002A6980">
        <w:rPr>
          <w:color w:val="auto"/>
          <w:szCs w:val="24"/>
          <w:lang w:val="sr-Latn-BA"/>
        </w:rPr>
        <w:t xml:space="preserve">Nadležnosti Federalnog zavoda za zapošljavanje i kantonalnih službi za zapošljavanje, vezano za zapošljavanje </w:t>
      </w:r>
      <w:r w:rsidR="00F045EE">
        <w:rPr>
          <w:color w:val="auto"/>
          <w:szCs w:val="24"/>
          <w:lang w:val="sr-Latn-BA"/>
        </w:rPr>
        <w:t xml:space="preserve">stranaca </w:t>
      </w:r>
      <w:r w:rsidRPr="002A6980">
        <w:rPr>
          <w:color w:val="auto"/>
          <w:szCs w:val="24"/>
          <w:lang w:val="sr-Latn-BA"/>
        </w:rPr>
        <w:t>i osoba bez državljanstva i izdavanje radnih dozvola, regulisane su članovima 5</w:t>
      </w:r>
      <w:r w:rsidR="00113A66">
        <w:rPr>
          <w:color w:val="auto"/>
          <w:szCs w:val="24"/>
          <w:lang w:val="sr-Latn-BA"/>
        </w:rPr>
        <w:t>.</w:t>
      </w:r>
      <w:r w:rsidRPr="002A6980">
        <w:rPr>
          <w:color w:val="auto"/>
          <w:szCs w:val="24"/>
          <w:lang w:val="sr-Latn-BA"/>
        </w:rPr>
        <w:t xml:space="preserve"> i 8</w:t>
      </w:r>
      <w:r w:rsidR="00113A66">
        <w:rPr>
          <w:color w:val="auto"/>
          <w:szCs w:val="24"/>
          <w:lang w:val="sr-Latn-BA"/>
        </w:rPr>
        <w:t>.</w:t>
      </w:r>
      <w:r w:rsidRPr="002A6980">
        <w:rPr>
          <w:color w:val="auto"/>
          <w:szCs w:val="24"/>
          <w:lang w:val="sr-Latn-BA"/>
        </w:rPr>
        <w:t xml:space="preserve"> Zakona o posredovanju u zapošlj</w:t>
      </w:r>
      <w:r w:rsidR="00AD4F35">
        <w:rPr>
          <w:color w:val="auto"/>
          <w:szCs w:val="24"/>
          <w:lang w:val="sr-Latn-BA"/>
        </w:rPr>
        <w:t>a</w:t>
      </w:r>
      <w:r w:rsidRPr="002A6980">
        <w:rPr>
          <w:color w:val="auto"/>
          <w:szCs w:val="24"/>
          <w:lang w:val="sr-Latn-BA"/>
        </w:rPr>
        <w:t>vanju i socijalnoj sigurnosti n</w:t>
      </w:r>
      <w:r w:rsidR="006C7BE4">
        <w:rPr>
          <w:color w:val="auto"/>
          <w:szCs w:val="24"/>
          <w:lang w:val="sr-Latn-BA"/>
        </w:rPr>
        <w:t xml:space="preserve">ezaposlenih </w:t>
      </w:r>
      <w:r w:rsidRPr="002A6980">
        <w:rPr>
          <w:color w:val="auto"/>
          <w:szCs w:val="24"/>
          <w:lang w:val="sr-Latn-BA"/>
        </w:rPr>
        <w:t>osoba (</w:t>
      </w:r>
      <w:r w:rsidR="006766BC">
        <w:rPr>
          <w:color w:val="auto"/>
          <w:szCs w:val="24"/>
          <w:lang w:val="sr-Latn-BA"/>
        </w:rPr>
        <w:t>„</w:t>
      </w:r>
      <w:r w:rsidRPr="002A6980">
        <w:rPr>
          <w:color w:val="auto"/>
          <w:szCs w:val="24"/>
          <w:lang w:val="sr-Latn-BA"/>
        </w:rPr>
        <w:t>Službene novine Federacije BiH</w:t>
      </w:r>
      <w:r w:rsidR="006766BC">
        <w:rPr>
          <w:color w:val="auto"/>
          <w:szCs w:val="24"/>
          <w:lang w:val="sr-Latn-BA"/>
        </w:rPr>
        <w:t>“</w:t>
      </w:r>
      <w:r w:rsidRPr="002A6980">
        <w:rPr>
          <w:color w:val="auto"/>
          <w:szCs w:val="24"/>
          <w:lang w:val="sr-Latn-BA"/>
        </w:rPr>
        <w:t xml:space="preserve"> br. 55/00, 41/01, 22/05 i 9/08). Naime, kantonalne službe za</w:t>
      </w:r>
      <w:r w:rsidR="006766BC">
        <w:rPr>
          <w:color w:val="auto"/>
          <w:szCs w:val="24"/>
          <w:lang w:val="sr-Latn-BA"/>
        </w:rPr>
        <w:t xml:space="preserve"> </w:t>
      </w:r>
      <w:r w:rsidRPr="002A6980">
        <w:rPr>
          <w:color w:val="auto"/>
          <w:szCs w:val="24"/>
          <w:lang w:val="sr-Latn-BA"/>
        </w:rPr>
        <w:t>zapošljavanje su nadležne za izdavanje radnih dozvola strancima, a na osnovu odobrenja Federalnog zavoda za zapošljavanje donesenog na prijedlog nadležne kantonalne službe za zapošljavanje prema mjestu sjedišta poslodavca.</w:t>
      </w:r>
    </w:p>
    <w:p w14:paraId="37705386" w14:textId="4A18A9F8" w:rsidR="002A6980" w:rsidRDefault="00B07360" w:rsidP="002A6980">
      <w:pPr>
        <w:spacing w:line="240" w:lineRule="auto"/>
        <w:rPr>
          <w:color w:val="auto"/>
          <w:szCs w:val="24"/>
          <w:lang w:val="sr-Latn-BA"/>
        </w:rPr>
      </w:pPr>
      <w:r>
        <w:rPr>
          <w:color w:val="auto"/>
          <w:szCs w:val="24"/>
          <w:lang w:val="sr-Latn-BA"/>
        </w:rPr>
        <w:t xml:space="preserve">Također, </w:t>
      </w:r>
      <w:r w:rsidR="002A6980" w:rsidRPr="002A6980">
        <w:rPr>
          <w:color w:val="auto"/>
          <w:szCs w:val="24"/>
          <w:lang w:val="sr-Latn-BA"/>
        </w:rPr>
        <w:t xml:space="preserve">nadležnosti Federalnog zavoda za zapošljavanje i kantonalnih službi za zapošljavanje proističu i iz odredbi Zakona o strancima, te iz Zakona o zapošljavanju stranaca kojim su uređeni uvjeti, način i postupak zapošljavanja </w:t>
      </w:r>
      <w:r w:rsidR="008D325C">
        <w:rPr>
          <w:color w:val="auto"/>
          <w:szCs w:val="24"/>
          <w:lang w:val="sr-Latn-BA"/>
        </w:rPr>
        <w:t xml:space="preserve">stranaca </w:t>
      </w:r>
      <w:r w:rsidR="002A6980" w:rsidRPr="002A6980">
        <w:rPr>
          <w:color w:val="auto"/>
          <w:szCs w:val="24"/>
          <w:lang w:val="sr-Latn-BA"/>
        </w:rPr>
        <w:t>i osoba bez državljanstva u Federaciji Bosne i Hercegovine, izuzeci od izdavanja radne dozvole, prestanak važenja radne dozvole, vođenje evidencija o izdatim radnim dozvolama i druga pitanja od značaja za zapošljavanje stranaca.</w:t>
      </w:r>
    </w:p>
    <w:p w14:paraId="72721331" w14:textId="77777777" w:rsidR="0080612E" w:rsidRDefault="0080612E" w:rsidP="002A6980">
      <w:pPr>
        <w:spacing w:line="240" w:lineRule="auto"/>
        <w:rPr>
          <w:color w:val="auto"/>
          <w:szCs w:val="24"/>
          <w:lang w:val="sr-Latn-BA"/>
        </w:rPr>
      </w:pPr>
    </w:p>
    <w:p w14:paraId="1D572142" w14:textId="01EC3C75" w:rsidR="0080612E" w:rsidRDefault="00E06C7A" w:rsidP="002A6980">
      <w:pPr>
        <w:spacing w:line="240" w:lineRule="auto"/>
        <w:rPr>
          <w:color w:val="auto"/>
          <w:szCs w:val="24"/>
          <w:lang w:val="sr-Latn-BA"/>
        </w:rPr>
      </w:pPr>
      <w:r>
        <w:rPr>
          <w:color w:val="auto"/>
          <w:szCs w:val="24"/>
          <w:lang w:val="sr-Latn-BA"/>
        </w:rPr>
        <w:t xml:space="preserve">JU </w:t>
      </w:r>
      <w:r w:rsidR="0080612E">
        <w:rPr>
          <w:color w:val="auto"/>
          <w:szCs w:val="24"/>
          <w:lang w:val="sr-Latn-BA"/>
        </w:rPr>
        <w:t>Zavod za zapošljavanje Republike Srpske n</w:t>
      </w:r>
      <w:r w:rsidR="0080612E" w:rsidRPr="0080612E">
        <w:rPr>
          <w:color w:val="auto"/>
          <w:szCs w:val="24"/>
          <w:lang w:val="sr-Latn-BA"/>
        </w:rPr>
        <w:t>adležan je za izdavanje radnih dozvola za rad strancu i licu bez državljanstva, u skladu sa zakonom kojim se uređuje zapošljavanje stranaca i lica bez državljanstva, čl. 3.</w:t>
      </w:r>
      <w:r w:rsidR="006C7BE4">
        <w:rPr>
          <w:color w:val="auto"/>
          <w:szCs w:val="24"/>
          <w:lang w:val="sr-Latn-BA"/>
        </w:rPr>
        <w:t xml:space="preserve"> </w:t>
      </w:r>
      <w:r w:rsidR="0080612E" w:rsidRPr="0080612E">
        <w:rPr>
          <w:color w:val="auto"/>
          <w:szCs w:val="24"/>
          <w:lang w:val="sr-Latn-BA"/>
        </w:rPr>
        <w:t>Zakona o posredovanju u zapošljavanju i pravima za vrijeme nezaposlenosti (‘’Službeni glasnik Republike Srpske’’, broj 30/10,102/12 i 94/19).</w:t>
      </w:r>
    </w:p>
    <w:p w14:paraId="4EADB26A" w14:textId="77777777" w:rsidR="006109C1" w:rsidRDefault="006109C1" w:rsidP="00F045EE">
      <w:pPr>
        <w:spacing w:line="240" w:lineRule="auto"/>
        <w:ind w:left="0" w:firstLine="0"/>
        <w:rPr>
          <w:color w:val="auto"/>
          <w:szCs w:val="24"/>
          <w:lang w:val="sr-Latn-BA"/>
        </w:rPr>
      </w:pPr>
    </w:p>
    <w:p w14:paraId="6942E12C" w14:textId="0ED925B4" w:rsidR="006109C1" w:rsidRPr="006109C1" w:rsidRDefault="006109C1" w:rsidP="006109C1">
      <w:pPr>
        <w:spacing w:line="240" w:lineRule="auto"/>
        <w:rPr>
          <w:color w:val="auto"/>
          <w:szCs w:val="24"/>
          <w:lang w:val="sr-Latn-BA"/>
        </w:rPr>
      </w:pPr>
      <w:r w:rsidRPr="006109C1">
        <w:rPr>
          <w:color w:val="auto"/>
          <w:szCs w:val="24"/>
          <w:lang w:val="sr-Latn-BA"/>
        </w:rPr>
        <w:t xml:space="preserve">Zavod </w:t>
      </w:r>
      <w:r>
        <w:rPr>
          <w:color w:val="auto"/>
          <w:szCs w:val="24"/>
          <w:lang w:val="sr-Latn-BA"/>
        </w:rPr>
        <w:t xml:space="preserve">za zapošljavanje Brčko </w:t>
      </w:r>
      <w:r w:rsidR="006143F0">
        <w:rPr>
          <w:color w:val="auto"/>
          <w:szCs w:val="24"/>
          <w:lang w:val="sr-Latn-BA"/>
        </w:rPr>
        <w:t xml:space="preserve">Distrikta </w:t>
      </w:r>
      <w:r>
        <w:rPr>
          <w:color w:val="auto"/>
          <w:szCs w:val="24"/>
          <w:lang w:val="sr-Latn-BA"/>
        </w:rPr>
        <w:t xml:space="preserve">BiH </w:t>
      </w:r>
      <w:r w:rsidRPr="006109C1">
        <w:rPr>
          <w:color w:val="auto"/>
          <w:szCs w:val="24"/>
          <w:lang w:val="sr-Latn-BA"/>
        </w:rPr>
        <w:t>je pravno lice sa statusom javne službe od opšteg interesa za Distrikt, sa pravima, obavezama i odgovornostima utvrđenim Zakonom i St</w:t>
      </w:r>
      <w:r>
        <w:rPr>
          <w:color w:val="auto"/>
          <w:szCs w:val="24"/>
          <w:lang w:val="sr-Latn-BA"/>
        </w:rPr>
        <w:t xml:space="preserve">atutom Zavoda za zapošljavanje. </w:t>
      </w:r>
      <w:r w:rsidRPr="006109C1">
        <w:rPr>
          <w:color w:val="auto"/>
          <w:szCs w:val="24"/>
          <w:lang w:val="sr-Latn-BA"/>
        </w:rPr>
        <w:t>Djelatnost Zavoda je neprofitna.</w:t>
      </w:r>
    </w:p>
    <w:p w14:paraId="45C553FD" w14:textId="77777777" w:rsidR="006109C1" w:rsidRPr="006109C1" w:rsidRDefault="006109C1" w:rsidP="006109C1">
      <w:pPr>
        <w:spacing w:line="240" w:lineRule="auto"/>
        <w:rPr>
          <w:color w:val="auto"/>
          <w:szCs w:val="24"/>
          <w:lang w:val="sr-Latn-BA"/>
        </w:rPr>
      </w:pPr>
    </w:p>
    <w:p w14:paraId="3E33E62E" w14:textId="77777777" w:rsidR="006109C1" w:rsidRPr="006109C1" w:rsidRDefault="006109C1" w:rsidP="006109C1">
      <w:pPr>
        <w:spacing w:line="240" w:lineRule="auto"/>
        <w:rPr>
          <w:color w:val="auto"/>
          <w:szCs w:val="24"/>
          <w:lang w:val="sr-Latn-BA"/>
        </w:rPr>
      </w:pPr>
      <w:r w:rsidRPr="006109C1">
        <w:rPr>
          <w:color w:val="auto"/>
          <w:szCs w:val="24"/>
          <w:lang w:val="sr-Latn-BA"/>
        </w:rPr>
        <w:t>U okviru svoje djelatnosti Zavod obavlja sljedeće funkcije:</w:t>
      </w:r>
    </w:p>
    <w:p w14:paraId="6812414F" w14:textId="77777777" w:rsidR="006109C1" w:rsidRPr="006109C1" w:rsidRDefault="006109C1" w:rsidP="006109C1">
      <w:pPr>
        <w:spacing w:line="240" w:lineRule="auto"/>
        <w:rPr>
          <w:color w:val="auto"/>
          <w:szCs w:val="24"/>
          <w:lang w:val="sr-Latn-BA"/>
        </w:rPr>
      </w:pPr>
    </w:p>
    <w:p w14:paraId="1F60624C" w14:textId="7A86493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posredovanje u zapošljavanju,</w:t>
      </w:r>
    </w:p>
    <w:p w14:paraId="4FA7B4FB" w14:textId="419A4E89"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obavještavanje o mogućnostima i uslovima za zapošljavanje,</w:t>
      </w:r>
    </w:p>
    <w:p w14:paraId="6FD6E3F0" w14:textId="35474688"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profesionalna orijentacija i savjetovanje o izboru zanimanja,</w:t>
      </w:r>
    </w:p>
    <w:p w14:paraId="21F35777" w14:textId="1EE9E2B6"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lastRenderedPageBreak/>
        <w:t>organizovanje stručnog osposobljavanja, obuke i pripreme za zapošljavanje,</w:t>
      </w:r>
    </w:p>
    <w:p w14:paraId="0F6F2BA7" w14:textId="2D5B7DCD"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sprovođenje programa i mjera aktivne politike zapošljavanja.</w:t>
      </w:r>
    </w:p>
    <w:p w14:paraId="36EA5AB8" w14:textId="7BA7BC23"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ostvarivanje prava nezaposlenih lica,</w:t>
      </w:r>
    </w:p>
    <w:p w14:paraId="57A70F65" w14:textId="09BF53A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izdavanje radnih dozvola za zapošljavanje stranaca u skladu sa zakonskim i drugim  propisima,</w:t>
      </w:r>
    </w:p>
    <w:p w14:paraId="3F068BA1" w14:textId="0BF97462"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obavljanje organizacionih, stručnih administrativnih i drugih poslova u vezi sa ostvarivanjem prava nezaposlenih lica predviđenih Zakonom,</w:t>
      </w:r>
    </w:p>
    <w:p w14:paraId="79277594" w14:textId="17A63CDB" w:rsidR="006109C1" w:rsidRPr="0005780E" w:rsidRDefault="006109C1" w:rsidP="0005780E">
      <w:pPr>
        <w:pStyle w:val="ListParagraph"/>
        <w:numPr>
          <w:ilvl w:val="0"/>
          <w:numId w:val="31"/>
        </w:numPr>
        <w:spacing w:line="240" w:lineRule="auto"/>
        <w:rPr>
          <w:color w:val="auto"/>
          <w:szCs w:val="24"/>
          <w:lang w:val="sr-Latn-BA"/>
        </w:rPr>
      </w:pPr>
      <w:r w:rsidRPr="0005780E">
        <w:rPr>
          <w:color w:val="auto"/>
          <w:szCs w:val="24"/>
          <w:lang w:val="sr-Latn-BA"/>
        </w:rPr>
        <w:t>drugi poslovi utvrđeni zakonom i aktima Zavoda.</w:t>
      </w:r>
    </w:p>
    <w:p w14:paraId="79D6A3A7" w14:textId="77777777" w:rsidR="006109C1" w:rsidRPr="006109C1" w:rsidRDefault="006109C1" w:rsidP="006109C1">
      <w:pPr>
        <w:spacing w:line="240" w:lineRule="auto"/>
        <w:rPr>
          <w:color w:val="auto"/>
          <w:szCs w:val="24"/>
          <w:lang w:val="sr-Latn-BA"/>
        </w:rPr>
      </w:pPr>
    </w:p>
    <w:p w14:paraId="56B0A621" w14:textId="20B9416C" w:rsidR="00AF112E" w:rsidRDefault="006109C1" w:rsidP="006109C1">
      <w:pPr>
        <w:spacing w:line="240" w:lineRule="auto"/>
        <w:rPr>
          <w:color w:val="auto"/>
          <w:szCs w:val="24"/>
          <w:lang w:val="sr-Latn-BA"/>
        </w:rPr>
      </w:pPr>
      <w:r w:rsidRPr="006109C1">
        <w:rPr>
          <w:color w:val="auto"/>
          <w:szCs w:val="24"/>
          <w:lang w:val="sr-Latn-BA"/>
        </w:rPr>
        <w:t xml:space="preserve">Zavod za zapošljavanje je nadležan za izdavanje radnih dozvola za zapošljavanje </w:t>
      </w:r>
      <w:r w:rsidR="00523E78">
        <w:rPr>
          <w:color w:val="auto"/>
          <w:szCs w:val="24"/>
          <w:lang w:val="sr-Latn-BA"/>
        </w:rPr>
        <w:t xml:space="preserve">stranaca </w:t>
      </w:r>
      <w:r w:rsidRPr="006109C1">
        <w:rPr>
          <w:color w:val="auto"/>
          <w:szCs w:val="24"/>
          <w:lang w:val="sr-Latn-BA"/>
        </w:rPr>
        <w:t xml:space="preserve">i lica bez državljanstva u Brčko </w:t>
      </w:r>
      <w:r w:rsidR="006143F0">
        <w:rPr>
          <w:color w:val="auto"/>
          <w:szCs w:val="24"/>
          <w:lang w:val="sr-Latn-BA"/>
        </w:rPr>
        <w:t xml:space="preserve">Distriktu </w:t>
      </w:r>
      <w:r w:rsidRPr="006109C1">
        <w:rPr>
          <w:color w:val="auto"/>
          <w:szCs w:val="24"/>
          <w:lang w:val="sr-Latn-BA"/>
        </w:rPr>
        <w:t>BiH.</w:t>
      </w:r>
    </w:p>
    <w:p w14:paraId="51E22298" w14:textId="77777777" w:rsidR="00AF112E" w:rsidRPr="002A6980" w:rsidRDefault="00AF112E" w:rsidP="00210446">
      <w:pPr>
        <w:spacing w:line="240" w:lineRule="auto"/>
        <w:ind w:left="0" w:firstLine="0"/>
        <w:rPr>
          <w:color w:val="auto"/>
          <w:szCs w:val="24"/>
          <w:lang w:val="sr-Latn-BA"/>
        </w:rPr>
      </w:pPr>
    </w:p>
    <w:p w14:paraId="4BDE7ED2" w14:textId="206B8843" w:rsidR="00765CE7" w:rsidRDefault="00B80ACE">
      <w:pPr>
        <w:pStyle w:val="Heading1"/>
        <w:numPr>
          <w:ilvl w:val="0"/>
          <w:numId w:val="3"/>
        </w:numPr>
      </w:pPr>
      <w:bookmarkStart w:id="7" w:name="_Toc28010131"/>
      <w:r>
        <w:t>ANALIZA POSTOJEĆEG STANJA</w:t>
      </w:r>
      <w:bookmarkEnd w:id="6"/>
      <w:bookmarkEnd w:id="7"/>
    </w:p>
    <w:p w14:paraId="585740A4" w14:textId="77777777" w:rsidR="008D02BC" w:rsidRPr="008D02BC" w:rsidRDefault="008D02BC" w:rsidP="008D02BC"/>
    <w:p w14:paraId="31B418BB" w14:textId="7BAF3F75" w:rsidR="00765CE7" w:rsidRPr="006143F0" w:rsidRDefault="00B80ACE">
      <w:pPr>
        <w:ind w:left="0" w:firstLine="0"/>
        <w:rPr>
          <w:color w:val="auto"/>
        </w:rPr>
      </w:pPr>
      <w:r>
        <w:rPr>
          <w:color w:val="auto"/>
        </w:rPr>
        <w:t xml:space="preserve">Na osnovu podataka Službe za poslove sa strancima </w:t>
      </w:r>
      <w:r w:rsidR="001F4DBE" w:rsidRPr="008727B7">
        <w:rPr>
          <w:color w:val="auto"/>
        </w:rPr>
        <w:t xml:space="preserve">o odobrenim privremenim boravcima </w:t>
      </w:r>
      <w:r w:rsidRPr="008727B7">
        <w:rPr>
          <w:color w:val="auto"/>
        </w:rPr>
        <w:t xml:space="preserve">po osnovu rada </w:t>
      </w:r>
      <w:r w:rsidR="001F4DBE" w:rsidRPr="008727B7">
        <w:rPr>
          <w:color w:val="auto"/>
        </w:rPr>
        <w:t xml:space="preserve">sa radnom dozvolom </w:t>
      </w:r>
      <w:r w:rsidRPr="008727B7">
        <w:rPr>
          <w:color w:val="auto"/>
        </w:rPr>
        <w:t xml:space="preserve">i </w:t>
      </w:r>
      <w:r w:rsidR="001F4DBE" w:rsidRPr="008727B7">
        <w:rPr>
          <w:color w:val="auto"/>
        </w:rPr>
        <w:t xml:space="preserve">o odobrenim privremenim boravcima </w:t>
      </w:r>
      <w:r w:rsidR="003A394D" w:rsidRPr="008727B7">
        <w:rPr>
          <w:color w:val="auto"/>
        </w:rPr>
        <w:t xml:space="preserve">po osnovu rada </w:t>
      </w:r>
      <w:r w:rsidRPr="008727B7">
        <w:rPr>
          <w:color w:val="auto"/>
        </w:rPr>
        <w:t>bez radne dozvol</w:t>
      </w:r>
      <w:r w:rsidR="001F4DBE" w:rsidRPr="008727B7">
        <w:rPr>
          <w:color w:val="auto"/>
        </w:rPr>
        <w:t>e i podacima o izdatim potvrdama o prijavi rada</w:t>
      </w:r>
      <w:r w:rsidR="0064720E" w:rsidRPr="008727B7">
        <w:rPr>
          <w:color w:val="auto"/>
        </w:rPr>
        <w:t>,</w:t>
      </w:r>
      <w:r w:rsidR="003A394D" w:rsidRPr="008727B7">
        <w:rPr>
          <w:color w:val="auto"/>
        </w:rPr>
        <w:t xml:space="preserve"> kao i na osnovu podataka</w:t>
      </w:r>
      <w:r w:rsidRPr="008727B7">
        <w:rPr>
          <w:color w:val="auto"/>
        </w:rPr>
        <w:t xml:space="preserve"> </w:t>
      </w:r>
      <w:r>
        <w:rPr>
          <w:color w:val="auto"/>
        </w:rPr>
        <w:t xml:space="preserve">Agencije za rad i zapošljavanje BiH o izdatim radnim dozvolama strancima u Bosni i Hercegovini dobijenih od entitetskih zavoda i Zavoda za zapošljavanje Brčko </w:t>
      </w:r>
      <w:r w:rsidR="006143F0">
        <w:rPr>
          <w:color w:val="auto"/>
        </w:rPr>
        <w:t xml:space="preserve">Distrikta </w:t>
      </w:r>
      <w:r>
        <w:rPr>
          <w:color w:val="auto"/>
        </w:rPr>
        <w:t xml:space="preserve">BiH, dat je pregled i analiza postojećeg stanja u oblasti zapošljavanja </w:t>
      </w:r>
      <w:r w:rsidR="005248AC">
        <w:rPr>
          <w:color w:val="auto"/>
        </w:rPr>
        <w:t xml:space="preserve">stranaca </w:t>
      </w:r>
      <w:r>
        <w:rPr>
          <w:color w:val="auto"/>
        </w:rPr>
        <w:t xml:space="preserve">u Bosni i </w:t>
      </w:r>
      <w:r w:rsidRPr="006143F0">
        <w:rPr>
          <w:color w:val="auto"/>
        </w:rPr>
        <w:t>Hercegovini za period 201</w:t>
      </w:r>
      <w:r w:rsidR="00732FA9">
        <w:rPr>
          <w:color w:val="auto"/>
        </w:rPr>
        <w:t>7</w:t>
      </w:r>
      <w:r w:rsidRPr="006143F0">
        <w:rPr>
          <w:color w:val="auto"/>
        </w:rPr>
        <w:t>. -  201</w:t>
      </w:r>
      <w:r w:rsidR="00732FA9">
        <w:rPr>
          <w:color w:val="auto"/>
        </w:rPr>
        <w:t>8</w:t>
      </w:r>
      <w:r w:rsidRPr="006143F0">
        <w:rPr>
          <w:color w:val="auto"/>
        </w:rPr>
        <w:t>. godina.</w:t>
      </w:r>
    </w:p>
    <w:p w14:paraId="7B9E7D5E" w14:textId="18758850" w:rsidR="007B28C9" w:rsidRPr="007E1D4A" w:rsidRDefault="007B28C9">
      <w:pPr>
        <w:pStyle w:val="Heading2"/>
        <w:numPr>
          <w:ilvl w:val="1"/>
          <w:numId w:val="3"/>
        </w:numPr>
        <w:rPr>
          <w:rFonts w:ascii="Times New Roman" w:hAnsi="Times New Roman" w:cs="Times New Roman"/>
          <w:sz w:val="24"/>
          <w:szCs w:val="24"/>
        </w:rPr>
      </w:pPr>
      <w:r w:rsidRPr="007E1D4A">
        <w:rPr>
          <w:rFonts w:ascii="Times New Roman" w:hAnsi="Times New Roman" w:cs="Times New Roman"/>
          <w:sz w:val="24"/>
          <w:szCs w:val="24"/>
        </w:rPr>
        <w:t xml:space="preserve"> </w:t>
      </w:r>
      <w:bookmarkStart w:id="8" w:name="_Toc28010132"/>
      <w:r w:rsidRPr="007E1D4A">
        <w:rPr>
          <w:rFonts w:ascii="Times New Roman" w:hAnsi="Times New Roman" w:cs="Times New Roman"/>
          <w:sz w:val="24"/>
          <w:szCs w:val="24"/>
        </w:rPr>
        <w:t>Podaci</w:t>
      </w:r>
      <w:r w:rsidR="00252881">
        <w:rPr>
          <w:rFonts w:ascii="Times New Roman" w:hAnsi="Times New Roman" w:cs="Times New Roman"/>
          <w:sz w:val="24"/>
          <w:szCs w:val="24"/>
        </w:rPr>
        <w:t xml:space="preserve"> </w:t>
      </w:r>
      <w:r w:rsidRPr="007E1D4A">
        <w:rPr>
          <w:rFonts w:ascii="Times New Roman" w:hAnsi="Times New Roman" w:cs="Times New Roman"/>
          <w:sz w:val="24"/>
          <w:szCs w:val="24"/>
        </w:rPr>
        <w:t>o odobrenim/produženim privremenim boravcima po osnovu rada i izdatim potvrdama o prijavi rada</w:t>
      </w:r>
      <w:bookmarkEnd w:id="8"/>
    </w:p>
    <w:p w14:paraId="69DE2AE8" w14:textId="77777777" w:rsidR="00765CE7" w:rsidRPr="007E1D4A" w:rsidRDefault="00765CE7">
      <w:pPr>
        <w:pStyle w:val="ListParagraph"/>
        <w:tabs>
          <w:tab w:val="left" w:pos="1380"/>
        </w:tabs>
        <w:spacing w:line="276" w:lineRule="auto"/>
        <w:ind w:left="600" w:firstLine="0"/>
        <w:rPr>
          <w:color w:val="auto"/>
        </w:rPr>
      </w:pPr>
    </w:p>
    <w:p w14:paraId="0B20FDDF" w14:textId="7A2411D0" w:rsidR="00765CE7" w:rsidRPr="007E1D4A" w:rsidRDefault="00B80ACE">
      <w:pPr>
        <w:tabs>
          <w:tab w:val="left" w:pos="1380"/>
        </w:tabs>
        <w:spacing w:line="276" w:lineRule="auto"/>
        <w:rPr>
          <w:b/>
          <w:color w:val="auto"/>
        </w:rPr>
      </w:pPr>
      <w:r w:rsidRPr="007E1D4A">
        <w:rPr>
          <w:color w:val="auto"/>
        </w:rPr>
        <w:t xml:space="preserve">Prema  raspoloživim  podacima i informacijama Službe za poslove sa strancima, Ministarstva bezbjednosti BiH, koji se odnose na </w:t>
      </w:r>
      <w:r w:rsidR="00F831A9" w:rsidRPr="007E1D4A">
        <w:rPr>
          <w:color w:val="auto"/>
        </w:rPr>
        <w:t>rad stranaca sa radnom dozvolom</w:t>
      </w:r>
      <w:r w:rsidRPr="007E1D4A">
        <w:rPr>
          <w:color w:val="auto"/>
        </w:rPr>
        <w:t>/rad stranaca bez radne dozvole možemo izdvojiti sljedeće:</w:t>
      </w:r>
    </w:p>
    <w:p w14:paraId="0BB80398" w14:textId="77777777" w:rsidR="00765CE7" w:rsidRPr="007E1D4A" w:rsidRDefault="00765CE7">
      <w:pPr>
        <w:tabs>
          <w:tab w:val="left" w:pos="1380"/>
        </w:tabs>
        <w:spacing w:line="276" w:lineRule="auto"/>
        <w:rPr>
          <w:b/>
          <w:color w:val="auto"/>
        </w:rPr>
      </w:pPr>
    </w:p>
    <w:p w14:paraId="2D6E9ECF" w14:textId="1178DC38" w:rsidR="00765CE7" w:rsidRPr="007E1D4A" w:rsidRDefault="00B80ACE">
      <w:pPr>
        <w:pStyle w:val="ListParagraph"/>
        <w:numPr>
          <w:ilvl w:val="0"/>
          <w:numId w:val="4"/>
        </w:numPr>
        <w:tabs>
          <w:tab w:val="left" w:pos="1380"/>
        </w:tabs>
        <w:spacing w:after="0" w:line="276" w:lineRule="auto"/>
        <w:ind w:right="0"/>
        <w:contextualSpacing w:val="0"/>
        <w:rPr>
          <w:color w:val="auto"/>
        </w:rPr>
      </w:pPr>
      <w:r w:rsidRPr="007E1D4A">
        <w:rPr>
          <w:color w:val="auto"/>
        </w:rPr>
        <w:t>zahtjeve za davanje saglasnosti u postupku izdavanja viza tipa „D“</w:t>
      </w:r>
    </w:p>
    <w:p w14:paraId="07CF34B5" w14:textId="77777777" w:rsidR="00765CE7" w:rsidRPr="007E1D4A" w:rsidRDefault="00B80ACE">
      <w:pPr>
        <w:pStyle w:val="ListParagraph"/>
        <w:numPr>
          <w:ilvl w:val="0"/>
          <w:numId w:val="4"/>
        </w:numPr>
        <w:tabs>
          <w:tab w:val="left" w:pos="1380"/>
        </w:tabs>
        <w:spacing w:after="0" w:line="276" w:lineRule="auto"/>
        <w:ind w:right="0"/>
        <w:contextualSpacing w:val="0"/>
        <w:rPr>
          <w:color w:val="auto"/>
        </w:rPr>
      </w:pPr>
      <w:r w:rsidRPr="007E1D4A">
        <w:rPr>
          <w:color w:val="auto"/>
        </w:rPr>
        <w:t>odobrene/produžene privremene boravke prema osnovama.</w:t>
      </w:r>
    </w:p>
    <w:p w14:paraId="3325BE80" w14:textId="77777777" w:rsidR="00765CE7" w:rsidRPr="007E1D4A" w:rsidRDefault="00765CE7">
      <w:pPr>
        <w:tabs>
          <w:tab w:val="left" w:pos="1380"/>
        </w:tabs>
        <w:spacing w:line="276" w:lineRule="auto"/>
        <w:rPr>
          <w:b/>
          <w:color w:val="auto"/>
        </w:rPr>
      </w:pPr>
    </w:p>
    <w:p w14:paraId="687E1A63" w14:textId="3D7AD0B3" w:rsidR="00F26466" w:rsidRPr="007E1D4A" w:rsidRDefault="00F26466">
      <w:pPr>
        <w:tabs>
          <w:tab w:val="left" w:pos="1380"/>
        </w:tabs>
        <w:spacing w:line="276" w:lineRule="auto"/>
        <w:rPr>
          <w:color w:val="auto"/>
        </w:rPr>
      </w:pPr>
      <w:r w:rsidRPr="007E1D4A">
        <w:rPr>
          <w:color w:val="auto"/>
        </w:rPr>
        <w:t xml:space="preserve">Podaci koji se odnose na davanje saglasnosti u postupku izdavanja vize tipa „D“ su bitni u kontekstu politike zapošljavanja jer stranci koji dolaze iz zemalja sa kojima BiH ima uspostavljen vizni režim mogu podnijeti zahtjev za odobrenje privremenog boravka po bilo kojem osnovu pa tako i po osnovu rada sa radnom dozvolom ili </w:t>
      </w:r>
      <w:r w:rsidR="00F831A9" w:rsidRPr="007E1D4A">
        <w:rPr>
          <w:color w:val="auto"/>
        </w:rPr>
        <w:t xml:space="preserve">po osnovu </w:t>
      </w:r>
      <w:r w:rsidRPr="007E1D4A">
        <w:rPr>
          <w:color w:val="auto"/>
        </w:rPr>
        <w:t>rada bez radne dozvole, samo ako su u BiH ušli sa vizom tipa D.</w:t>
      </w:r>
    </w:p>
    <w:p w14:paraId="7ED5B7F6" w14:textId="77777777" w:rsidR="00F26466" w:rsidRPr="00155CC6" w:rsidRDefault="00F26466" w:rsidP="007B28C9">
      <w:pPr>
        <w:tabs>
          <w:tab w:val="left" w:pos="1380"/>
        </w:tabs>
        <w:spacing w:line="276" w:lineRule="auto"/>
        <w:ind w:left="0" w:firstLine="0"/>
        <w:rPr>
          <w:b/>
          <w:color w:val="auto"/>
        </w:rPr>
      </w:pPr>
    </w:p>
    <w:p w14:paraId="6E8C6D2F" w14:textId="69068DAE" w:rsidR="00765CE7" w:rsidRPr="00155CC6" w:rsidRDefault="00B80ACE" w:rsidP="0083487D">
      <w:pPr>
        <w:pStyle w:val="ListParagraph"/>
        <w:numPr>
          <w:ilvl w:val="0"/>
          <w:numId w:val="5"/>
        </w:numPr>
        <w:tabs>
          <w:tab w:val="left" w:pos="1380"/>
        </w:tabs>
        <w:spacing w:after="0" w:line="276" w:lineRule="auto"/>
        <w:ind w:left="0" w:right="0" w:hanging="284"/>
        <w:contextualSpacing w:val="0"/>
        <w:rPr>
          <w:color w:val="auto"/>
        </w:rPr>
      </w:pPr>
      <w:r w:rsidRPr="00155CC6">
        <w:rPr>
          <w:color w:val="auto"/>
        </w:rPr>
        <w:t xml:space="preserve">U </w:t>
      </w:r>
      <w:r w:rsidR="00C90427" w:rsidRPr="00C90427">
        <w:rPr>
          <w:color w:val="auto"/>
        </w:rPr>
        <w:t>t</w:t>
      </w:r>
      <w:r w:rsidR="00641A43" w:rsidRPr="00C90427">
        <w:rPr>
          <w:color w:val="auto"/>
        </w:rPr>
        <w:t>abeli 1.</w:t>
      </w:r>
      <w:r w:rsidRPr="00155CC6">
        <w:rPr>
          <w:color w:val="auto"/>
        </w:rPr>
        <w:t xml:space="preserve"> je pregled broja zahtjeva za davanje saglasnosti u postupku izdavanja viza tipa „D“ </w:t>
      </w:r>
      <w:r w:rsidR="00EB19B3">
        <w:rPr>
          <w:color w:val="auto"/>
        </w:rPr>
        <w:t xml:space="preserve">za </w:t>
      </w:r>
      <w:r w:rsidR="00C90427">
        <w:rPr>
          <w:color w:val="auto"/>
        </w:rPr>
        <w:t>periodu</w:t>
      </w:r>
      <w:r w:rsidR="00EB19B3">
        <w:rPr>
          <w:color w:val="auto"/>
        </w:rPr>
        <w:t xml:space="preserve"> od</w:t>
      </w:r>
      <w:r w:rsidR="00C90427">
        <w:rPr>
          <w:color w:val="auto"/>
        </w:rPr>
        <w:t xml:space="preserve"> 2013.-2018. godin</w:t>
      </w:r>
      <w:r w:rsidR="00EB19B3">
        <w:rPr>
          <w:color w:val="auto"/>
        </w:rPr>
        <w:t>e</w:t>
      </w:r>
      <w:r w:rsidR="00C90427">
        <w:rPr>
          <w:color w:val="auto"/>
        </w:rPr>
        <w:t>.</w:t>
      </w:r>
    </w:p>
    <w:p w14:paraId="1C45A122" w14:textId="77777777" w:rsidR="00765CE7" w:rsidRDefault="00765CE7">
      <w:pPr>
        <w:pStyle w:val="ListParagraph"/>
        <w:shd w:val="clear" w:color="auto" w:fill="FFFFFF"/>
        <w:ind w:left="0"/>
        <w:rPr>
          <w:color w:val="auto"/>
        </w:rPr>
      </w:pPr>
    </w:p>
    <w:p w14:paraId="02900FC1" w14:textId="77777777" w:rsidR="00A10114" w:rsidRDefault="00A10114">
      <w:pPr>
        <w:pStyle w:val="ListParagraph"/>
        <w:shd w:val="clear" w:color="auto" w:fill="FFFFFF"/>
        <w:ind w:left="0"/>
        <w:rPr>
          <w:color w:val="auto"/>
        </w:rPr>
      </w:pPr>
    </w:p>
    <w:p w14:paraId="6BB909D2" w14:textId="77777777" w:rsidR="00A10114" w:rsidRDefault="00A10114">
      <w:pPr>
        <w:pStyle w:val="ListParagraph"/>
        <w:shd w:val="clear" w:color="auto" w:fill="FFFFFF"/>
        <w:ind w:left="0"/>
        <w:rPr>
          <w:color w:val="auto"/>
        </w:rPr>
      </w:pPr>
    </w:p>
    <w:p w14:paraId="34BAABA9" w14:textId="77777777" w:rsidR="00A10114" w:rsidRPr="00155CC6" w:rsidRDefault="00A10114">
      <w:pPr>
        <w:pStyle w:val="ListParagraph"/>
        <w:shd w:val="clear" w:color="auto" w:fill="FFFFFF"/>
        <w:ind w:left="0"/>
        <w:rPr>
          <w:color w:val="auto"/>
        </w:rPr>
      </w:pPr>
    </w:p>
    <w:p w14:paraId="36434EF9" w14:textId="2120859B" w:rsidR="00765CE7" w:rsidRPr="00155CC6" w:rsidRDefault="007E1D4A">
      <w:pPr>
        <w:pStyle w:val="ListParagraph"/>
        <w:tabs>
          <w:tab w:val="left" w:pos="1380"/>
        </w:tabs>
        <w:spacing w:after="0" w:line="276" w:lineRule="auto"/>
        <w:ind w:left="426" w:right="0" w:hanging="993"/>
        <w:contextualSpacing w:val="0"/>
        <w:rPr>
          <w:color w:val="auto"/>
        </w:rPr>
      </w:pPr>
      <w:r w:rsidRPr="00155CC6">
        <w:rPr>
          <w:b/>
          <w:i/>
          <w:color w:val="auto"/>
        </w:rPr>
        <w:lastRenderedPageBreak/>
        <w:t>Tabela 1</w:t>
      </w:r>
      <w:r w:rsidR="00B80ACE" w:rsidRPr="00155CC6">
        <w:rPr>
          <w:b/>
          <w:i/>
          <w:color w:val="auto"/>
        </w:rPr>
        <w:t>. Pregled broja zahtjeva za davanje saglasnosti u postupku izdavanja viza tipa „D“</w:t>
      </w:r>
      <w:r w:rsidR="00B80ACE" w:rsidRPr="00155CC6">
        <w:rPr>
          <w:color w:val="auto"/>
        </w:rPr>
        <w:t xml:space="preserve"> </w:t>
      </w:r>
      <w:r w:rsidR="00B80ACE" w:rsidRPr="00155CC6">
        <w:rPr>
          <w:b/>
          <w:i/>
          <w:color w:val="auto"/>
        </w:rPr>
        <w:t xml:space="preserve"> u       periodu 2013.-201</w:t>
      </w:r>
      <w:r w:rsidR="00DB4AFA" w:rsidRPr="00155CC6">
        <w:rPr>
          <w:b/>
          <w:i/>
          <w:color w:val="auto"/>
        </w:rPr>
        <w:t>8</w:t>
      </w:r>
      <w:r w:rsidR="00B80ACE" w:rsidRPr="00155CC6">
        <w:rPr>
          <w:b/>
          <w:i/>
          <w:color w:val="auto"/>
        </w:rPr>
        <w:t>. godina</w:t>
      </w:r>
    </w:p>
    <w:tbl>
      <w:tblPr>
        <w:tblW w:w="10092" w:type="dxa"/>
        <w:tblInd w:w="-572" w:type="dxa"/>
        <w:tblLayout w:type="fixed"/>
        <w:tblLook w:val="04A0" w:firstRow="1" w:lastRow="0" w:firstColumn="1" w:lastColumn="0" w:noHBand="0" w:noVBand="1"/>
      </w:tblPr>
      <w:tblGrid>
        <w:gridCol w:w="4201"/>
        <w:gridCol w:w="1021"/>
        <w:gridCol w:w="1020"/>
        <w:gridCol w:w="1020"/>
        <w:gridCol w:w="994"/>
        <w:gridCol w:w="918"/>
        <w:gridCol w:w="918"/>
      </w:tblGrid>
      <w:tr w:rsidR="00155CC6" w:rsidRPr="00155CC6" w14:paraId="266994F2" w14:textId="77777777" w:rsidTr="00A10114">
        <w:trPr>
          <w:trHeight w:val="349"/>
        </w:trPr>
        <w:tc>
          <w:tcPr>
            <w:tcW w:w="4201" w:type="dxa"/>
            <w:tcBorders>
              <w:top w:val="single" w:sz="4" w:space="0" w:color="auto"/>
              <w:left w:val="single" w:sz="4" w:space="0" w:color="auto"/>
              <w:bottom w:val="single" w:sz="4" w:space="0" w:color="auto"/>
              <w:right w:val="single" w:sz="4" w:space="0" w:color="auto"/>
            </w:tcBorders>
            <w:vAlign w:val="center"/>
          </w:tcPr>
          <w:p w14:paraId="74AC9579" w14:textId="77777777" w:rsidR="00DB4AFA" w:rsidRPr="00155CC6" w:rsidRDefault="00DB4AFA" w:rsidP="00B24573">
            <w:pPr>
              <w:spacing w:line="256" w:lineRule="auto"/>
              <w:rPr>
                <w:iCs/>
                <w:color w:val="auto"/>
                <w:lang w:val="en-GB"/>
              </w:rPr>
            </w:pPr>
            <w:r w:rsidRPr="00155CC6">
              <w:rPr>
                <w:iCs/>
                <w:color w:val="auto"/>
              </w:rPr>
              <w:t> </w:t>
            </w:r>
          </w:p>
        </w:tc>
        <w:tc>
          <w:tcPr>
            <w:tcW w:w="1021" w:type="dxa"/>
            <w:tcBorders>
              <w:top w:val="single" w:sz="4" w:space="0" w:color="auto"/>
              <w:left w:val="nil"/>
              <w:bottom w:val="single" w:sz="4" w:space="0" w:color="auto"/>
              <w:right w:val="single" w:sz="4" w:space="0" w:color="auto"/>
            </w:tcBorders>
            <w:vAlign w:val="center"/>
          </w:tcPr>
          <w:p w14:paraId="1BEF3A3F" w14:textId="77777777" w:rsidR="00DB4AFA" w:rsidRPr="00155CC6" w:rsidRDefault="00DB4AFA" w:rsidP="00B24573">
            <w:pPr>
              <w:spacing w:line="256" w:lineRule="auto"/>
              <w:jc w:val="center"/>
              <w:rPr>
                <w:b/>
                <w:bCs/>
                <w:iCs/>
                <w:color w:val="auto"/>
                <w:sz w:val="22"/>
              </w:rPr>
            </w:pPr>
            <w:r w:rsidRPr="00155CC6">
              <w:rPr>
                <w:b/>
                <w:bCs/>
                <w:iCs/>
                <w:color w:val="auto"/>
                <w:sz w:val="22"/>
              </w:rPr>
              <w:t>2018. godina</w:t>
            </w:r>
          </w:p>
        </w:tc>
        <w:tc>
          <w:tcPr>
            <w:tcW w:w="1020" w:type="dxa"/>
            <w:tcBorders>
              <w:top w:val="single" w:sz="4" w:space="0" w:color="auto"/>
              <w:left w:val="nil"/>
              <w:bottom w:val="single" w:sz="4" w:space="0" w:color="auto"/>
              <w:right w:val="single" w:sz="4" w:space="0" w:color="auto"/>
            </w:tcBorders>
            <w:vAlign w:val="center"/>
          </w:tcPr>
          <w:p w14:paraId="439A3CF5" w14:textId="77777777" w:rsidR="00DB4AFA" w:rsidRPr="00155CC6" w:rsidRDefault="00DB4AFA" w:rsidP="00B24573">
            <w:pPr>
              <w:spacing w:line="256" w:lineRule="auto"/>
              <w:jc w:val="center"/>
              <w:rPr>
                <w:b/>
                <w:bCs/>
                <w:iCs/>
                <w:color w:val="auto"/>
                <w:sz w:val="22"/>
              </w:rPr>
            </w:pPr>
            <w:r w:rsidRPr="00155CC6">
              <w:rPr>
                <w:b/>
                <w:bCs/>
                <w:iCs/>
                <w:color w:val="auto"/>
                <w:sz w:val="22"/>
              </w:rPr>
              <w:t>2017. godina</w:t>
            </w:r>
          </w:p>
        </w:tc>
        <w:tc>
          <w:tcPr>
            <w:tcW w:w="1020" w:type="dxa"/>
            <w:tcBorders>
              <w:top w:val="single" w:sz="4" w:space="0" w:color="auto"/>
              <w:left w:val="nil"/>
              <w:bottom w:val="single" w:sz="4" w:space="0" w:color="auto"/>
              <w:right w:val="single" w:sz="4" w:space="0" w:color="auto"/>
            </w:tcBorders>
            <w:vAlign w:val="center"/>
          </w:tcPr>
          <w:p w14:paraId="0F215414" w14:textId="77777777" w:rsidR="00DB4AFA" w:rsidRPr="00155CC6" w:rsidRDefault="00DB4AFA" w:rsidP="00B24573">
            <w:pPr>
              <w:spacing w:line="256" w:lineRule="auto"/>
              <w:jc w:val="center"/>
              <w:rPr>
                <w:b/>
                <w:bCs/>
                <w:iCs/>
                <w:color w:val="auto"/>
                <w:sz w:val="22"/>
              </w:rPr>
            </w:pPr>
            <w:r w:rsidRPr="00155CC6">
              <w:rPr>
                <w:b/>
                <w:bCs/>
                <w:iCs/>
                <w:color w:val="auto"/>
                <w:sz w:val="22"/>
              </w:rPr>
              <w:t>2016. godina</w:t>
            </w:r>
          </w:p>
        </w:tc>
        <w:tc>
          <w:tcPr>
            <w:tcW w:w="994" w:type="dxa"/>
            <w:tcBorders>
              <w:top w:val="single" w:sz="4" w:space="0" w:color="auto"/>
              <w:left w:val="nil"/>
              <w:bottom w:val="single" w:sz="4" w:space="0" w:color="auto"/>
              <w:right w:val="single" w:sz="4" w:space="0" w:color="auto"/>
            </w:tcBorders>
            <w:vAlign w:val="center"/>
          </w:tcPr>
          <w:p w14:paraId="0CA34B46" w14:textId="77777777" w:rsidR="00DB4AFA" w:rsidRPr="00155CC6" w:rsidRDefault="00DB4AFA" w:rsidP="00B24573">
            <w:pPr>
              <w:spacing w:line="256" w:lineRule="auto"/>
              <w:jc w:val="center"/>
              <w:rPr>
                <w:b/>
                <w:bCs/>
                <w:iCs/>
                <w:color w:val="auto"/>
                <w:sz w:val="22"/>
              </w:rPr>
            </w:pPr>
            <w:r w:rsidRPr="00155CC6">
              <w:rPr>
                <w:b/>
                <w:bCs/>
                <w:iCs/>
                <w:color w:val="auto"/>
                <w:sz w:val="22"/>
              </w:rPr>
              <w:t>2015. godina</w:t>
            </w:r>
          </w:p>
        </w:tc>
        <w:tc>
          <w:tcPr>
            <w:tcW w:w="918" w:type="dxa"/>
            <w:tcBorders>
              <w:top w:val="single" w:sz="4" w:space="0" w:color="auto"/>
              <w:left w:val="nil"/>
              <w:bottom w:val="single" w:sz="4" w:space="0" w:color="auto"/>
              <w:right w:val="single" w:sz="4" w:space="0" w:color="auto"/>
            </w:tcBorders>
            <w:vAlign w:val="center"/>
          </w:tcPr>
          <w:p w14:paraId="6F8B8542" w14:textId="77777777" w:rsidR="00DB4AFA" w:rsidRPr="00155CC6" w:rsidRDefault="00DB4AFA" w:rsidP="00B24573">
            <w:pPr>
              <w:spacing w:line="256" w:lineRule="auto"/>
              <w:jc w:val="center"/>
              <w:rPr>
                <w:b/>
                <w:bCs/>
                <w:iCs/>
                <w:color w:val="auto"/>
                <w:sz w:val="22"/>
              </w:rPr>
            </w:pPr>
            <w:r w:rsidRPr="00155CC6">
              <w:rPr>
                <w:b/>
                <w:bCs/>
                <w:iCs/>
                <w:color w:val="auto"/>
                <w:sz w:val="22"/>
              </w:rPr>
              <w:t>2014. godina</w:t>
            </w:r>
          </w:p>
        </w:tc>
        <w:tc>
          <w:tcPr>
            <w:tcW w:w="918" w:type="dxa"/>
            <w:tcBorders>
              <w:top w:val="single" w:sz="4" w:space="0" w:color="auto"/>
              <w:left w:val="nil"/>
              <w:bottom w:val="single" w:sz="4" w:space="0" w:color="auto"/>
              <w:right w:val="single" w:sz="4" w:space="0" w:color="auto"/>
            </w:tcBorders>
            <w:vAlign w:val="center"/>
          </w:tcPr>
          <w:p w14:paraId="56842418" w14:textId="77777777" w:rsidR="00DB4AFA" w:rsidRPr="00155CC6" w:rsidRDefault="00DB4AFA" w:rsidP="00B24573">
            <w:pPr>
              <w:spacing w:line="256" w:lineRule="auto"/>
              <w:jc w:val="center"/>
              <w:rPr>
                <w:b/>
                <w:bCs/>
                <w:iCs/>
                <w:color w:val="auto"/>
                <w:sz w:val="22"/>
              </w:rPr>
            </w:pPr>
            <w:r w:rsidRPr="00155CC6">
              <w:rPr>
                <w:b/>
                <w:bCs/>
                <w:iCs/>
                <w:color w:val="auto"/>
                <w:sz w:val="22"/>
              </w:rPr>
              <w:t>2013. godina</w:t>
            </w:r>
          </w:p>
        </w:tc>
      </w:tr>
      <w:tr w:rsidR="00155CC6" w:rsidRPr="00155CC6" w14:paraId="5AE41931" w14:textId="77777777" w:rsidTr="00A10114">
        <w:trPr>
          <w:trHeight w:val="605"/>
        </w:trPr>
        <w:tc>
          <w:tcPr>
            <w:tcW w:w="4201" w:type="dxa"/>
            <w:tcBorders>
              <w:top w:val="nil"/>
              <w:left w:val="single" w:sz="4" w:space="0" w:color="auto"/>
              <w:bottom w:val="single" w:sz="4" w:space="0" w:color="auto"/>
              <w:right w:val="single" w:sz="4" w:space="0" w:color="auto"/>
            </w:tcBorders>
            <w:vAlign w:val="center"/>
          </w:tcPr>
          <w:p w14:paraId="3B83D4CB" w14:textId="77777777" w:rsidR="00DB4AFA" w:rsidRPr="00155CC6" w:rsidRDefault="00DB4AFA" w:rsidP="00B24573">
            <w:pPr>
              <w:spacing w:line="256" w:lineRule="auto"/>
              <w:rPr>
                <w:iCs/>
                <w:color w:val="auto"/>
              </w:rPr>
            </w:pPr>
            <w:r w:rsidRPr="00155CC6">
              <w:rPr>
                <w:iCs/>
                <w:color w:val="auto"/>
              </w:rPr>
              <w:t>Broj zahtjeva za izdavanje saglasnosti u postupku izdravanja viza tipa „D“ po osnovu izdate radne dozvole</w:t>
            </w:r>
          </w:p>
        </w:tc>
        <w:tc>
          <w:tcPr>
            <w:tcW w:w="1021" w:type="dxa"/>
            <w:tcBorders>
              <w:top w:val="single" w:sz="4" w:space="0" w:color="auto"/>
              <w:left w:val="nil"/>
              <w:bottom w:val="single" w:sz="4" w:space="0" w:color="auto"/>
              <w:right w:val="single" w:sz="4" w:space="0" w:color="auto"/>
            </w:tcBorders>
            <w:vAlign w:val="center"/>
          </w:tcPr>
          <w:p w14:paraId="4B873128" w14:textId="34493A04" w:rsidR="00DB4AFA" w:rsidRPr="00155CC6" w:rsidRDefault="0035728A" w:rsidP="00B24573">
            <w:pPr>
              <w:spacing w:line="256" w:lineRule="auto"/>
              <w:jc w:val="center"/>
              <w:rPr>
                <w:iCs/>
                <w:color w:val="auto"/>
              </w:rPr>
            </w:pPr>
            <w:r w:rsidRPr="00155CC6">
              <w:rPr>
                <w:iCs/>
                <w:color w:val="auto"/>
              </w:rPr>
              <w:t>260</w:t>
            </w:r>
          </w:p>
        </w:tc>
        <w:tc>
          <w:tcPr>
            <w:tcW w:w="1020" w:type="dxa"/>
            <w:tcBorders>
              <w:top w:val="single" w:sz="4" w:space="0" w:color="auto"/>
              <w:left w:val="nil"/>
              <w:bottom w:val="single" w:sz="4" w:space="0" w:color="auto"/>
              <w:right w:val="single" w:sz="4" w:space="0" w:color="auto"/>
            </w:tcBorders>
            <w:vAlign w:val="center"/>
          </w:tcPr>
          <w:p w14:paraId="1C75BB54" w14:textId="77777777" w:rsidR="00DB4AFA" w:rsidRPr="00155CC6" w:rsidRDefault="00DB4AFA" w:rsidP="00B24573">
            <w:pPr>
              <w:spacing w:line="256" w:lineRule="auto"/>
              <w:jc w:val="center"/>
              <w:rPr>
                <w:iCs/>
                <w:color w:val="auto"/>
              </w:rPr>
            </w:pPr>
            <w:r w:rsidRPr="00155CC6">
              <w:rPr>
                <w:iCs/>
                <w:color w:val="auto"/>
              </w:rPr>
              <w:t>243</w:t>
            </w:r>
          </w:p>
        </w:tc>
        <w:tc>
          <w:tcPr>
            <w:tcW w:w="1020" w:type="dxa"/>
            <w:tcBorders>
              <w:top w:val="single" w:sz="4" w:space="0" w:color="auto"/>
              <w:left w:val="nil"/>
              <w:bottom w:val="single" w:sz="4" w:space="0" w:color="auto"/>
              <w:right w:val="single" w:sz="4" w:space="0" w:color="auto"/>
            </w:tcBorders>
            <w:vAlign w:val="center"/>
          </w:tcPr>
          <w:p w14:paraId="6BA0394A" w14:textId="77777777" w:rsidR="00DB4AFA" w:rsidRPr="00155CC6" w:rsidRDefault="00DB4AFA" w:rsidP="00B24573">
            <w:pPr>
              <w:spacing w:line="256" w:lineRule="auto"/>
              <w:jc w:val="center"/>
              <w:rPr>
                <w:iCs/>
                <w:color w:val="auto"/>
              </w:rPr>
            </w:pPr>
            <w:r w:rsidRPr="00155CC6">
              <w:rPr>
                <w:iCs/>
                <w:color w:val="auto"/>
              </w:rPr>
              <w:t>186</w:t>
            </w:r>
          </w:p>
        </w:tc>
        <w:tc>
          <w:tcPr>
            <w:tcW w:w="994" w:type="dxa"/>
            <w:tcBorders>
              <w:top w:val="single" w:sz="4" w:space="0" w:color="auto"/>
              <w:left w:val="nil"/>
              <w:bottom w:val="single" w:sz="4" w:space="0" w:color="auto"/>
              <w:right w:val="single" w:sz="4" w:space="0" w:color="auto"/>
            </w:tcBorders>
            <w:vAlign w:val="center"/>
          </w:tcPr>
          <w:p w14:paraId="7CC2B96D" w14:textId="77777777" w:rsidR="00DB4AFA" w:rsidRPr="00155CC6" w:rsidRDefault="00DB4AFA" w:rsidP="00B24573">
            <w:pPr>
              <w:spacing w:line="256" w:lineRule="auto"/>
              <w:jc w:val="center"/>
              <w:rPr>
                <w:iCs/>
                <w:color w:val="auto"/>
              </w:rPr>
            </w:pPr>
            <w:r w:rsidRPr="00155CC6">
              <w:rPr>
                <w:iCs/>
                <w:color w:val="auto"/>
              </w:rPr>
              <w:t>148</w:t>
            </w:r>
          </w:p>
        </w:tc>
        <w:tc>
          <w:tcPr>
            <w:tcW w:w="918" w:type="dxa"/>
            <w:tcBorders>
              <w:top w:val="single" w:sz="4" w:space="0" w:color="auto"/>
              <w:left w:val="nil"/>
              <w:bottom w:val="single" w:sz="4" w:space="0" w:color="auto"/>
              <w:right w:val="single" w:sz="4" w:space="0" w:color="auto"/>
            </w:tcBorders>
            <w:vAlign w:val="center"/>
          </w:tcPr>
          <w:p w14:paraId="55507A04" w14:textId="77777777" w:rsidR="00DB4AFA" w:rsidRPr="00155CC6" w:rsidRDefault="00DB4AFA" w:rsidP="00B24573">
            <w:pPr>
              <w:spacing w:line="256" w:lineRule="auto"/>
              <w:jc w:val="center"/>
              <w:rPr>
                <w:iCs/>
                <w:color w:val="auto"/>
              </w:rPr>
            </w:pPr>
            <w:r w:rsidRPr="00155CC6">
              <w:rPr>
                <w:iCs/>
                <w:color w:val="auto"/>
              </w:rPr>
              <w:t>293</w:t>
            </w:r>
          </w:p>
        </w:tc>
        <w:tc>
          <w:tcPr>
            <w:tcW w:w="918" w:type="dxa"/>
            <w:tcBorders>
              <w:top w:val="single" w:sz="4" w:space="0" w:color="auto"/>
              <w:left w:val="nil"/>
              <w:bottom w:val="single" w:sz="4" w:space="0" w:color="auto"/>
              <w:right w:val="single" w:sz="4" w:space="0" w:color="auto"/>
            </w:tcBorders>
            <w:vAlign w:val="center"/>
          </w:tcPr>
          <w:p w14:paraId="0B65C931" w14:textId="77777777" w:rsidR="00DB4AFA" w:rsidRPr="00155CC6" w:rsidRDefault="00DB4AFA" w:rsidP="00B24573">
            <w:pPr>
              <w:spacing w:line="256" w:lineRule="auto"/>
              <w:jc w:val="center"/>
              <w:rPr>
                <w:iCs/>
                <w:color w:val="auto"/>
              </w:rPr>
            </w:pPr>
            <w:r w:rsidRPr="00155CC6">
              <w:rPr>
                <w:iCs/>
                <w:color w:val="auto"/>
              </w:rPr>
              <w:t>130</w:t>
            </w:r>
          </w:p>
        </w:tc>
      </w:tr>
      <w:tr w:rsidR="00155CC6" w:rsidRPr="00155CC6" w14:paraId="1C3AA231" w14:textId="77777777" w:rsidTr="00A10114">
        <w:trPr>
          <w:trHeight w:val="435"/>
        </w:trPr>
        <w:tc>
          <w:tcPr>
            <w:tcW w:w="4201" w:type="dxa"/>
            <w:tcBorders>
              <w:top w:val="nil"/>
              <w:left w:val="single" w:sz="4" w:space="0" w:color="auto"/>
              <w:bottom w:val="single" w:sz="4" w:space="0" w:color="auto"/>
              <w:right w:val="single" w:sz="4" w:space="0" w:color="auto"/>
            </w:tcBorders>
            <w:vAlign w:val="center"/>
          </w:tcPr>
          <w:p w14:paraId="7BA75612" w14:textId="77777777" w:rsidR="00DB4AFA" w:rsidRPr="00155CC6" w:rsidRDefault="00DB4AFA" w:rsidP="00B24573">
            <w:pPr>
              <w:spacing w:line="256" w:lineRule="auto"/>
              <w:rPr>
                <w:iCs/>
                <w:color w:val="auto"/>
              </w:rPr>
            </w:pPr>
            <w:r w:rsidRPr="00155CC6">
              <w:rPr>
                <w:iCs/>
                <w:color w:val="auto"/>
              </w:rPr>
              <w:t>Broj zahtjeva za izdavanje saglasnosti u postupku izdavanja viza tipa „D“ po osnovu rada bez radne dozvole</w:t>
            </w:r>
          </w:p>
        </w:tc>
        <w:tc>
          <w:tcPr>
            <w:tcW w:w="1021" w:type="dxa"/>
            <w:tcBorders>
              <w:top w:val="single" w:sz="4" w:space="0" w:color="auto"/>
              <w:left w:val="nil"/>
              <w:bottom w:val="single" w:sz="4" w:space="0" w:color="auto"/>
              <w:right w:val="single" w:sz="4" w:space="0" w:color="auto"/>
            </w:tcBorders>
            <w:vAlign w:val="center"/>
          </w:tcPr>
          <w:p w14:paraId="5D9DF89B" w14:textId="78437208" w:rsidR="00DB4AFA" w:rsidRPr="00155CC6" w:rsidRDefault="0035728A" w:rsidP="00B24573">
            <w:pPr>
              <w:spacing w:line="256" w:lineRule="auto"/>
              <w:jc w:val="center"/>
              <w:rPr>
                <w:iCs/>
                <w:color w:val="auto"/>
              </w:rPr>
            </w:pPr>
            <w:r w:rsidRPr="00155CC6">
              <w:rPr>
                <w:iCs/>
                <w:color w:val="auto"/>
              </w:rPr>
              <w:t>45</w:t>
            </w:r>
          </w:p>
        </w:tc>
        <w:tc>
          <w:tcPr>
            <w:tcW w:w="1020" w:type="dxa"/>
            <w:tcBorders>
              <w:top w:val="single" w:sz="4" w:space="0" w:color="auto"/>
              <w:left w:val="nil"/>
              <w:bottom w:val="single" w:sz="4" w:space="0" w:color="auto"/>
              <w:right w:val="single" w:sz="4" w:space="0" w:color="auto"/>
            </w:tcBorders>
            <w:vAlign w:val="center"/>
          </w:tcPr>
          <w:p w14:paraId="10574D1F" w14:textId="77777777" w:rsidR="00DB4AFA" w:rsidRPr="00155CC6" w:rsidRDefault="00DB4AFA" w:rsidP="00B24573">
            <w:pPr>
              <w:spacing w:line="256" w:lineRule="auto"/>
              <w:jc w:val="center"/>
              <w:rPr>
                <w:iCs/>
                <w:color w:val="auto"/>
              </w:rPr>
            </w:pPr>
            <w:r w:rsidRPr="00155CC6">
              <w:rPr>
                <w:iCs/>
                <w:color w:val="auto"/>
              </w:rPr>
              <w:t>6</w:t>
            </w:r>
          </w:p>
        </w:tc>
        <w:tc>
          <w:tcPr>
            <w:tcW w:w="1020" w:type="dxa"/>
            <w:tcBorders>
              <w:top w:val="single" w:sz="4" w:space="0" w:color="auto"/>
              <w:left w:val="nil"/>
              <w:bottom w:val="single" w:sz="4" w:space="0" w:color="auto"/>
              <w:right w:val="single" w:sz="4" w:space="0" w:color="auto"/>
            </w:tcBorders>
            <w:vAlign w:val="center"/>
          </w:tcPr>
          <w:p w14:paraId="00364694" w14:textId="77777777" w:rsidR="00DB4AFA" w:rsidRPr="00155CC6" w:rsidRDefault="00DB4AFA" w:rsidP="00B24573">
            <w:pPr>
              <w:spacing w:line="256" w:lineRule="auto"/>
              <w:jc w:val="center"/>
              <w:rPr>
                <w:iCs/>
                <w:color w:val="auto"/>
              </w:rPr>
            </w:pPr>
            <w:r w:rsidRPr="00155CC6">
              <w:rPr>
                <w:iCs/>
                <w:color w:val="auto"/>
              </w:rPr>
              <w:t>52</w:t>
            </w:r>
          </w:p>
        </w:tc>
        <w:tc>
          <w:tcPr>
            <w:tcW w:w="994" w:type="dxa"/>
            <w:tcBorders>
              <w:top w:val="single" w:sz="4" w:space="0" w:color="auto"/>
              <w:left w:val="nil"/>
              <w:bottom w:val="single" w:sz="4" w:space="0" w:color="auto"/>
              <w:right w:val="single" w:sz="4" w:space="0" w:color="auto"/>
            </w:tcBorders>
            <w:vAlign w:val="center"/>
          </w:tcPr>
          <w:p w14:paraId="3D3E449A" w14:textId="77777777" w:rsidR="00DB4AFA" w:rsidRPr="00155CC6" w:rsidRDefault="00DB4AFA" w:rsidP="00B24573">
            <w:pPr>
              <w:spacing w:line="256" w:lineRule="auto"/>
              <w:jc w:val="center"/>
              <w:rPr>
                <w:iCs/>
                <w:color w:val="auto"/>
              </w:rPr>
            </w:pPr>
            <w:r w:rsidRPr="00155CC6">
              <w:rPr>
                <w:iCs/>
                <w:color w:val="auto"/>
              </w:rPr>
              <w:t>431</w:t>
            </w:r>
          </w:p>
        </w:tc>
        <w:tc>
          <w:tcPr>
            <w:tcW w:w="918" w:type="dxa"/>
            <w:tcBorders>
              <w:top w:val="single" w:sz="4" w:space="0" w:color="auto"/>
              <w:left w:val="nil"/>
              <w:bottom w:val="single" w:sz="4" w:space="0" w:color="auto"/>
              <w:right w:val="single" w:sz="4" w:space="0" w:color="auto"/>
            </w:tcBorders>
            <w:vAlign w:val="center"/>
          </w:tcPr>
          <w:p w14:paraId="18DAA190" w14:textId="77777777" w:rsidR="00DB4AFA" w:rsidRPr="00155CC6" w:rsidRDefault="00DB4AFA" w:rsidP="00B24573">
            <w:pPr>
              <w:spacing w:line="256" w:lineRule="auto"/>
              <w:jc w:val="center"/>
              <w:rPr>
                <w:iCs/>
                <w:color w:val="auto"/>
              </w:rPr>
            </w:pPr>
            <w:r w:rsidRPr="00155CC6">
              <w:rPr>
                <w:iCs/>
                <w:color w:val="auto"/>
              </w:rPr>
              <w:t>605</w:t>
            </w:r>
          </w:p>
        </w:tc>
        <w:tc>
          <w:tcPr>
            <w:tcW w:w="918" w:type="dxa"/>
            <w:tcBorders>
              <w:top w:val="single" w:sz="4" w:space="0" w:color="auto"/>
              <w:left w:val="nil"/>
              <w:bottom w:val="single" w:sz="4" w:space="0" w:color="auto"/>
              <w:right w:val="single" w:sz="4" w:space="0" w:color="auto"/>
            </w:tcBorders>
            <w:vAlign w:val="center"/>
          </w:tcPr>
          <w:p w14:paraId="1674DC78" w14:textId="77777777" w:rsidR="00DB4AFA" w:rsidRPr="00155CC6" w:rsidRDefault="00DB4AFA" w:rsidP="00B24573">
            <w:pPr>
              <w:spacing w:line="256" w:lineRule="auto"/>
              <w:jc w:val="center"/>
              <w:rPr>
                <w:iCs/>
                <w:color w:val="auto"/>
              </w:rPr>
            </w:pPr>
            <w:r w:rsidRPr="00155CC6">
              <w:rPr>
                <w:iCs/>
                <w:color w:val="auto"/>
              </w:rPr>
              <w:t>283</w:t>
            </w:r>
          </w:p>
        </w:tc>
      </w:tr>
      <w:tr w:rsidR="00155CC6" w:rsidRPr="00155CC6" w14:paraId="4378C18A" w14:textId="77777777" w:rsidTr="00A10114">
        <w:trPr>
          <w:trHeight w:val="224"/>
        </w:trPr>
        <w:tc>
          <w:tcPr>
            <w:tcW w:w="4201" w:type="dxa"/>
            <w:tcBorders>
              <w:top w:val="nil"/>
              <w:left w:val="single" w:sz="4" w:space="0" w:color="auto"/>
              <w:bottom w:val="single" w:sz="4" w:space="0" w:color="auto"/>
              <w:right w:val="single" w:sz="4" w:space="0" w:color="auto"/>
            </w:tcBorders>
            <w:vAlign w:val="center"/>
          </w:tcPr>
          <w:p w14:paraId="106CE6EE" w14:textId="77777777" w:rsidR="00DB4AFA" w:rsidRPr="00155CC6" w:rsidRDefault="00DB4AFA" w:rsidP="00B24573">
            <w:pPr>
              <w:spacing w:line="256" w:lineRule="auto"/>
              <w:rPr>
                <w:b/>
                <w:iCs/>
                <w:color w:val="auto"/>
              </w:rPr>
            </w:pPr>
            <w:r w:rsidRPr="00155CC6">
              <w:rPr>
                <w:b/>
                <w:iCs/>
                <w:color w:val="auto"/>
              </w:rPr>
              <w:t>TOTAL</w:t>
            </w:r>
          </w:p>
        </w:tc>
        <w:tc>
          <w:tcPr>
            <w:tcW w:w="1021" w:type="dxa"/>
            <w:tcBorders>
              <w:top w:val="single" w:sz="4" w:space="0" w:color="auto"/>
              <w:left w:val="nil"/>
              <w:bottom w:val="single" w:sz="4" w:space="0" w:color="auto"/>
              <w:right w:val="single" w:sz="4" w:space="0" w:color="auto"/>
            </w:tcBorders>
            <w:vAlign w:val="center"/>
          </w:tcPr>
          <w:p w14:paraId="3CE3E39F" w14:textId="00D8C9D4" w:rsidR="00DB4AFA" w:rsidRPr="00155CC6" w:rsidRDefault="0035728A" w:rsidP="00B24573">
            <w:pPr>
              <w:spacing w:line="256" w:lineRule="auto"/>
              <w:jc w:val="center"/>
              <w:rPr>
                <w:b/>
                <w:iCs/>
                <w:color w:val="auto"/>
              </w:rPr>
            </w:pPr>
            <w:r w:rsidRPr="00155CC6">
              <w:rPr>
                <w:b/>
                <w:iCs/>
                <w:color w:val="auto"/>
              </w:rPr>
              <w:t>305</w:t>
            </w:r>
          </w:p>
        </w:tc>
        <w:tc>
          <w:tcPr>
            <w:tcW w:w="1020" w:type="dxa"/>
            <w:tcBorders>
              <w:top w:val="single" w:sz="4" w:space="0" w:color="auto"/>
              <w:left w:val="nil"/>
              <w:bottom w:val="single" w:sz="4" w:space="0" w:color="auto"/>
              <w:right w:val="single" w:sz="4" w:space="0" w:color="auto"/>
            </w:tcBorders>
            <w:vAlign w:val="center"/>
          </w:tcPr>
          <w:p w14:paraId="0DA01638" w14:textId="77777777" w:rsidR="00DB4AFA" w:rsidRPr="00155CC6" w:rsidRDefault="00DB4AFA" w:rsidP="00B24573">
            <w:pPr>
              <w:spacing w:line="256" w:lineRule="auto"/>
              <w:jc w:val="center"/>
              <w:rPr>
                <w:b/>
                <w:iCs/>
                <w:color w:val="auto"/>
              </w:rPr>
            </w:pPr>
            <w:r w:rsidRPr="00155CC6">
              <w:rPr>
                <w:b/>
                <w:iCs/>
                <w:color w:val="auto"/>
              </w:rPr>
              <w:t>249</w:t>
            </w:r>
          </w:p>
        </w:tc>
        <w:tc>
          <w:tcPr>
            <w:tcW w:w="1020" w:type="dxa"/>
            <w:tcBorders>
              <w:top w:val="single" w:sz="4" w:space="0" w:color="auto"/>
              <w:left w:val="nil"/>
              <w:bottom w:val="single" w:sz="4" w:space="0" w:color="auto"/>
              <w:right w:val="single" w:sz="4" w:space="0" w:color="auto"/>
            </w:tcBorders>
            <w:vAlign w:val="center"/>
          </w:tcPr>
          <w:p w14:paraId="51811272" w14:textId="77777777" w:rsidR="00DB4AFA" w:rsidRPr="00155CC6" w:rsidRDefault="00DB4AFA" w:rsidP="00B24573">
            <w:pPr>
              <w:spacing w:line="256" w:lineRule="auto"/>
              <w:jc w:val="center"/>
              <w:rPr>
                <w:b/>
                <w:iCs/>
                <w:color w:val="auto"/>
              </w:rPr>
            </w:pPr>
            <w:r w:rsidRPr="00155CC6">
              <w:rPr>
                <w:b/>
                <w:iCs/>
                <w:color w:val="auto"/>
              </w:rPr>
              <w:t>238</w:t>
            </w:r>
          </w:p>
        </w:tc>
        <w:tc>
          <w:tcPr>
            <w:tcW w:w="994" w:type="dxa"/>
            <w:tcBorders>
              <w:top w:val="single" w:sz="4" w:space="0" w:color="auto"/>
              <w:left w:val="nil"/>
              <w:bottom w:val="single" w:sz="4" w:space="0" w:color="auto"/>
              <w:right w:val="single" w:sz="4" w:space="0" w:color="auto"/>
            </w:tcBorders>
            <w:vAlign w:val="center"/>
          </w:tcPr>
          <w:p w14:paraId="5FAD90C7" w14:textId="77777777" w:rsidR="00DB4AFA" w:rsidRPr="00155CC6" w:rsidRDefault="00DB4AFA" w:rsidP="00B24573">
            <w:pPr>
              <w:spacing w:line="256" w:lineRule="auto"/>
              <w:jc w:val="center"/>
              <w:rPr>
                <w:b/>
                <w:iCs/>
                <w:color w:val="auto"/>
              </w:rPr>
            </w:pPr>
            <w:r w:rsidRPr="00155CC6">
              <w:rPr>
                <w:b/>
                <w:iCs/>
                <w:color w:val="auto"/>
              </w:rPr>
              <w:t>579</w:t>
            </w:r>
          </w:p>
        </w:tc>
        <w:tc>
          <w:tcPr>
            <w:tcW w:w="918" w:type="dxa"/>
            <w:tcBorders>
              <w:top w:val="single" w:sz="4" w:space="0" w:color="auto"/>
              <w:left w:val="nil"/>
              <w:bottom w:val="single" w:sz="4" w:space="0" w:color="auto"/>
              <w:right w:val="single" w:sz="4" w:space="0" w:color="auto"/>
            </w:tcBorders>
            <w:vAlign w:val="center"/>
          </w:tcPr>
          <w:p w14:paraId="20981BAE" w14:textId="77777777" w:rsidR="00DB4AFA" w:rsidRPr="00155CC6" w:rsidRDefault="00DB4AFA" w:rsidP="00B24573">
            <w:pPr>
              <w:spacing w:line="256" w:lineRule="auto"/>
              <w:jc w:val="center"/>
              <w:rPr>
                <w:b/>
                <w:iCs/>
                <w:color w:val="auto"/>
              </w:rPr>
            </w:pPr>
            <w:r w:rsidRPr="00155CC6">
              <w:rPr>
                <w:b/>
                <w:iCs/>
                <w:color w:val="auto"/>
              </w:rPr>
              <w:t>898</w:t>
            </w:r>
          </w:p>
        </w:tc>
        <w:tc>
          <w:tcPr>
            <w:tcW w:w="918" w:type="dxa"/>
            <w:tcBorders>
              <w:top w:val="single" w:sz="4" w:space="0" w:color="auto"/>
              <w:left w:val="nil"/>
              <w:bottom w:val="single" w:sz="4" w:space="0" w:color="auto"/>
              <w:right w:val="single" w:sz="4" w:space="0" w:color="auto"/>
            </w:tcBorders>
            <w:vAlign w:val="center"/>
          </w:tcPr>
          <w:p w14:paraId="066A9F95" w14:textId="77777777" w:rsidR="00DB4AFA" w:rsidRPr="00155CC6" w:rsidRDefault="00DB4AFA" w:rsidP="00B24573">
            <w:pPr>
              <w:spacing w:line="256" w:lineRule="auto"/>
              <w:jc w:val="center"/>
              <w:rPr>
                <w:b/>
                <w:iCs/>
                <w:color w:val="auto"/>
              </w:rPr>
            </w:pPr>
            <w:r w:rsidRPr="00155CC6">
              <w:rPr>
                <w:b/>
                <w:iCs/>
                <w:color w:val="auto"/>
              </w:rPr>
              <w:t>413</w:t>
            </w:r>
          </w:p>
        </w:tc>
      </w:tr>
    </w:tbl>
    <w:p w14:paraId="3DC18A0B" w14:textId="043C8116" w:rsidR="00915422" w:rsidRPr="00155CC6" w:rsidRDefault="00915422" w:rsidP="00915422">
      <w:pPr>
        <w:ind w:left="0" w:firstLine="0"/>
        <w:rPr>
          <w:i/>
          <w:color w:val="auto"/>
          <w:sz w:val="20"/>
          <w:szCs w:val="20"/>
          <w:lang w:eastAsia="en-US"/>
        </w:rPr>
      </w:pPr>
      <w:r w:rsidRPr="00155CC6">
        <w:rPr>
          <w:b/>
          <w:i/>
          <w:color w:val="auto"/>
          <w:sz w:val="20"/>
          <w:szCs w:val="20"/>
          <w:lang w:eastAsia="en-US"/>
        </w:rPr>
        <w:t>Izvor:</w:t>
      </w:r>
      <w:r w:rsidRPr="00155CC6">
        <w:rPr>
          <w:i/>
          <w:color w:val="auto"/>
          <w:sz w:val="20"/>
          <w:szCs w:val="20"/>
          <w:lang w:eastAsia="en-US"/>
        </w:rPr>
        <w:t xml:space="preserve"> Ministarstvo sigurnosti BiH-</w:t>
      </w:r>
      <w:r w:rsidRPr="00155CC6">
        <w:rPr>
          <w:i/>
          <w:color w:val="auto"/>
          <w:sz w:val="20"/>
          <w:szCs w:val="20"/>
        </w:rPr>
        <w:t xml:space="preserve"> Služba za poslove sa strancima</w:t>
      </w:r>
    </w:p>
    <w:p w14:paraId="44D98CC8" w14:textId="77777777" w:rsidR="00765CE7" w:rsidRPr="00521A29" w:rsidRDefault="00765CE7">
      <w:pPr>
        <w:spacing w:line="276" w:lineRule="auto"/>
        <w:ind w:hanging="567"/>
        <w:rPr>
          <w:color w:val="FF0000"/>
          <w:lang w:eastAsia="en-US"/>
        </w:rPr>
      </w:pPr>
    </w:p>
    <w:p w14:paraId="220D29DF" w14:textId="27122C4F" w:rsidR="00075DF2" w:rsidRPr="00B96F0D" w:rsidRDefault="00B80ACE" w:rsidP="002A2952">
      <w:pPr>
        <w:tabs>
          <w:tab w:val="center" w:pos="709"/>
        </w:tabs>
        <w:rPr>
          <w:bCs/>
          <w:color w:val="FF0000"/>
          <w:lang w:val="hr-BA"/>
        </w:rPr>
      </w:pPr>
      <w:r w:rsidRPr="002A2952">
        <w:rPr>
          <w:color w:val="auto"/>
          <w:lang w:val="hr-HR"/>
        </w:rPr>
        <w:t>Iz naprijed navedenog može se vidjeti da je tokom</w:t>
      </w:r>
      <w:r w:rsidRPr="002A2952">
        <w:rPr>
          <w:bCs/>
          <w:color w:val="auto"/>
          <w:lang w:val="hr-HR"/>
        </w:rPr>
        <w:t xml:space="preserve"> 2016. godine došlo do evidentnog smanjenja zahtjeva za izdavanje saglasnosti za izdavanje vize tipa “D“,</w:t>
      </w:r>
      <w:r w:rsidRPr="002A2952">
        <w:rPr>
          <w:bCs/>
          <w:color w:val="auto"/>
          <w:lang w:val="hr-BA"/>
        </w:rPr>
        <w:t xml:space="preserve"> što se dovodi u vezu sa završetkom radova na izgradnji TE Stanari, odnosno smanjenjem broja izdatih viza državljanima NR Kine angažovanim na izgradnji pomenute termoelektrane izdatih u 2015. godini odnosno 2014. godini. </w:t>
      </w:r>
      <w:r w:rsidR="00F61203" w:rsidRPr="002A2952">
        <w:rPr>
          <w:color w:val="auto"/>
          <w:lang w:val="hr-BA"/>
        </w:rPr>
        <w:t>N</w:t>
      </w:r>
      <w:r w:rsidR="00075DF2" w:rsidRPr="002A2952">
        <w:rPr>
          <w:color w:val="auto"/>
          <w:lang w:val="hr-BA"/>
        </w:rPr>
        <w:t xml:space="preserve">akon </w:t>
      </w:r>
      <w:r w:rsidR="00075DF2" w:rsidRPr="002A2952">
        <w:rPr>
          <w:b/>
          <w:i/>
          <w:color w:val="auto"/>
          <w:lang w:val="hr-BA"/>
        </w:rPr>
        <w:t>enormnog rasta</w:t>
      </w:r>
      <w:r w:rsidR="00075DF2" w:rsidRPr="002A2952">
        <w:rPr>
          <w:color w:val="auto"/>
          <w:lang w:val="hr-BA"/>
        </w:rPr>
        <w:t xml:space="preserve"> u 2014. i 2015. godini </w:t>
      </w:r>
      <w:r w:rsidR="00075DF2" w:rsidRPr="002A2952">
        <w:rPr>
          <w:b/>
          <w:i/>
          <w:color w:val="auto"/>
          <w:lang w:val="hr-BA"/>
        </w:rPr>
        <w:t xml:space="preserve">bilježi </w:t>
      </w:r>
      <w:r w:rsidR="00F61203" w:rsidRPr="002A2952">
        <w:rPr>
          <w:b/>
          <w:i/>
          <w:color w:val="auto"/>
          <w:lang w:val="hr-BA"/>
        </w:rPr>
        <w:t xml:space="preserve">se </w:t>
      </w:r>
      <w:r w:rsidR="00075DF2" w:rsidRPr="002A2952">
        <w:rPr>
          <w:b/>
          <w:i/>
          <w:color w:val="auto"/>
          <w:lang w:val="hr-BA"/>
        </w:rPr>
        <w:t>pad</w:t>
      </w:r>
      <w:r w:rsidR="00075DF2" w:rsidRPr="002A2952">
        <w:rPr>
          <w:color w:val="auto"/>
          <w:lang w:val="hr-BA"/>
        </w:rPr>
        <w:t xml:space="preserve"> vrijednosti u 2016. godini, nakon čega </w:t>
      </w:r>
      <w:r w:rsidR="00F61203" w:rsidRPr="002A2952">
        <w:rPr>
          <w:color w:val="auto"/>
          <w:lang w:val="hr-BA"/>
        </w:rPr>
        <w:t xml:space="preserve">se </w:t>
      </w:r>
      <w:r w:rsidR="00075DF2">
        <w:rPr>
          <w:lang w:val="hr-BA"/>
        </w:rPr>
        <w:t xml:space="preserve">ponovno </w:t>
      </w:r>
      <w:r w:rsidR="00075DF2">
        <w:rPr>
          <w:b/>
          <w:i/>
          <w:lang w:val="hr-BA"/>
        </w:rPr>
        <w:t>bilježi blagi rast</w:t>
      </w:r>
      <w:r w:rsidR="00F61203">
        <w:rPr>
          <w:lang w:val="hr-BA"/>
        </w:rPr>
        <w:t xml:space="preserve"> tokom 2017. i</w:t>
      </w:r>
      <w:r w:rsidR="00075DF2">
        <w:rPr>
          <w:lang w:val="hr-BA"/>
        </w:rPr>
        <w:t xml:space="preserve"> 2018. godine. </w:t>
      </w:r>
    </w:p>
    <w:p w14:paraId="144F8DED" w14:textId="77777777" w:rsidR="00606FE3" w:rsidRPr="00521A29" w:rsidRDefault="00606FE3" w:rsidP="00075DF2">
      <w:pPr>
        <w:tabs>
          <w:tab w:val="center" w:pos="709"/>
        </w:tabs>
        <w:rPr>
          <w:bCs/>
          <w:color w:val="FF0000"/>
          <w:lang w:val="hr-BA"/>
        </w:rPr>
      </w:pPr>
    </w:p>
    <w:p w14:paraId="2C54928D" w14:textId="4AD5E850" w:rsidR="00765CE7" w:rsidRDefault="00B80ACE" w:rsidP="00906AFF">
      <w:pPr>
        <w:pStyle w:val="ListParagraph"/>
        <w:numPr>
          <w:ilvl w:val="0"/>
          <w:numId w:val="5"/>
        </w:numPr>
        <w:tabs>
          <w:tab w:val="left" w:pos="1380"/>
        </w:tabs>
        <w:spacing w:after="0" w:line="276" w:lineRule="auto"/>
        <w:ind w:left="0" w:right="0" w:hanging="284"/>
        <w:contextualSpacing w:val="0"/>
        <w:rPr>
          <w:color w:val="auto"/>
        </w:rPr>
      </w:pPr>
      <w:r w:rsidRPr="00906AFF">
        <w:rPr>
          <w:color w:val="auto"/>
        </w:rPr>
        <w:t>U narednoj tabeli prikazani su podaci u periodu od 2013. – 201</w:t>
      </w:r>
      <w:r w:rsidR="00BC5EA5" w:rsidRPr="00906AFF">
        <w:rPr>
          <w:color w:val="auto"/>
        </w:rPr>
        <w:t>8</w:t>
      </w:r>
      <w:r w:rsidRPr="00906AFF">
        <w:rPr>
          <w:color w:val="auto"/>
        </w:rPr>
        <w:t xml:space="preserve">. godine za </w:t>
      </w:r>
      <w:r w:rsidR="00906AFF" w:rsidRPr="00906AFF">
        <w:rPr>
          <w:color w:val="auto"/>
        </w:rPr>
        <w:t xml:space="preserve"> </w:t>
      </w:r>
      <w:r w:rsidRPr="00906AFF">
        <w:rPr>
          <w:color w:val="auto"/>
        </w:rPr>
        <w:t>odobrenje/produženje privremenog boravka po osnovu izdate radne dozvole i odobrenje/produženje privremenog boravka po osnovu rada bez radne dozvole:</w:t>
      </w:r>
    </w:p>
    <w:p w14:paraId="0B3E129E" w14:textId="77777777" w:rsidR="00906AFF" w:rsidRPr="00906AFF" w:rsidRDefault="00906AFF" w:rsidP="00906AFF">
      <w:pPr>
        <w:pStyle w:val="ListParagraph"/>
        <w:tabs>
          <w:tab w:val="left" w:pos="1380"/>
        </w:tabs>
        <w:spacing w:after="0" w:line="276" w:lineRule="auto"/>
        <w:ind w:left="0" w:right="0" w:firstLine="0"/>
        <w:contextualSpacing w:val="0"/>
        <w:rPr>
          <w:color w:val="auto"/>
        </w:rPr>
      </w:pPr>
    </w:p>
    <w:p w14:paraId="4386E91D" w14:textId="144BA5E3" w:rsidR="00765CE7" w:rsidRPr="00BC5EA5" w:rsidRDefault="00BC5EA5">
      <w:pPr>
        <w:spacing w:after="0" w:line="240" w:lineRule="auto"/>
        <w:ind w:left="709" w:right="0" w:hanging="851"/>
        <w:rPr>
          <w:b/>
          <w:i/>
          <w:color w:val="auto"/>
        </w:rPr>
      </w:pPr>
      <w:r w:rsidRPr="00B24573">
        <w:rPr>
          <w:b/>
          <w:i/>
          <w:color w:val="auto"/>
        </w:rPr>
        <w:t>Tabela 2</w:t>
      </w:r>
      <w:r w:rsidR="00B80ACE" w:rsidRPr="00B24573">
        <w:rPr>
          <w:b/>
          <w:i/>
          <w:color w:val="auto"/>
        </w:rPr>
        <w:t xml:space="preserve">. Odobreni/produženi privremeni boravci po osnovu izdate radne dozvole i po </w:t>
      </w:r>
      <w:r w:rsidR="00B80ACE" w:rsidRPr="00BC5EA5">
        <w:rPr>
          <w:b/>
          <w:i/>
          <w:color w:val="auto"/>
        </w:rPr>
        <w:t>osnovu rada bez radne dozvole</w:t>
      </w:r>
      <w:r w:rsidR="00B80ACE" w:rsidRPr="00BC5EA5">
        <w:rPr>
          <w:color w:val="auto"/>
        </w:rPr>
        <w:t xml:space="preserve"> </w:t>
      </w:r>
      <w:r w:rsidRPr="00BC5EA5">
        <w:rPr>
          <w:b/>
          <w:i/>
          <w:color w:val="auto"/>
        </w:rPr>
        <w:t>u periodu 2013.- 2018</w:t>
      </w:r>
      <w:r w:rsidR="00B80ACE" w:rsidRPr="00BC5EA5">
        <w:rPr>
          <w:b/>
          <w:i/>
          <w:color w:val="auto"/>
        </w:rPr>
        <w:t>. godina</w:t>
      </w:r>
    </w:p>
    <w:tbl>
      <w:tblPr>
        <w:tblW w:w="10188" w:type="dxa"/>
        <w:tblInd w:w="-572" w:type="dxa"/>
        <w:tblLayout w:type="fixed"/>
        <w:tblLook w:val="04A0" w:firstRow="1" w:lastRow="0" w:firstColumn="1" w:lastColumn="0" w:noHBand="0" w:noVBand="1"/>
      </w:tblPr>
      <w:tblGrid>
        <w:gridCol w:w="4634"/>
        <w:gridCol w:w="925"/>
        <w:gridCol w:w="926"/>
        <w:gridCol w:w="926"/>
        <w:gridCol w:w="925"/>
        <w:gridCol w:w="926"/>
        <w:gridCol w:w="926"/>
      </w:tblGrid>
      <w:tr w:rsidR="00BC5EA5" w:rsidRPr="00BC5EA5" w14:paraId="0EC12B64" w14:textId="77777777" w:rsidTr="00BC5EA5">
        <w:trPr>
          <w:trHeight w:val="540"/>
        </w:trPr>
        <w:tc>
          <w:tcPr>
            <w:tcW w:w="4634" w:type="dxa"/>
            <w:tcBorders>
              <w:top w:val="single" w:sz="4" w:space="0" w:color="auto"/>
              <w:left w:val="single" w:sz="4" w:space="0" w:color="auto"/>
              <w:bottom w:val="single" w:sz="4" w:space="0" w:color="auto"/>
              <w:right w:val="single" w:sz="4" w:space="0" w:color="auto"/>
            </w:tcBorders>
            <w:vAlign w:val="center"/>
          </w:tcPr>
          <w:p w14:paraId="354FC2A1" w14:textId="77777777" w:rsidR="00BC5EA5" w:rsidRPr="00BC5EA5" w:rsidRDefault="00BC5EA5" w:rsidP="00B24573">
            <w:pPr>
              <w:spacing w:line="256" w:lineRule="auto"/>
              <w:rPr>
                <w:iCs/>
                <w:color w:val="auto"/>
                <w:lang w:val="en-GB"/>
              </w:rPr>
            </w:pPr>
            <w:r w:rsidRPr="00BC5EA5">
              <w:rPr>
                <w:iCs/>
                <w:color w:val="auto"/>
              </w:rPr>
              <w:t> </w:t>
            </w:r>
          </w:p>
        </w:tc>
        <w:tc>
          <w:tcPr>
            <w:tcW w:w="925" w:type="dxa"/>
            <w:tcBorders>
              <w:top w:val="single" w:sz="4" w:space="0" w:color="auto"/>
              <w:left w:val="nil"/>
              <w:bottom w:val="single" w:sz="4" w:space="0" w:color="auto"/>
              <w:right w:val="single" w:sz="4" w:space="0" w:color="auto"/>
            </w:tcBorders>
            <w:vAlign w:val="center"/>
          </w:tcPr>
          <w:p w14:paraId="4FEA5DC6" w14:textId="77777777" w:rsidR="00BC5EA5" w:rsidRPr="00BC5EA5" w:rsidRDefault="00BC5EA5" w:rsidP="00B24573">
            <w:pPr>
              <w:spacing w:line="256" w:lineRule="auto"/>
              <w:jc w:val="center"/>
              <w:rPr>
                <w:b/>
                <w:bCs/>
                <w:iCs/>
                <w:color w:val="auto"/>
                <w:sz w:val="22"/>
              </w:rPr>
            </w:pPr>
            <w:r w:rsidRPr="00BC5EA5">
              <w:rPr>
                <w:b/>
                <w:bCs/>
                <w:iCs/>
                <w:color w:val="auto"/>
                <w:sz w:val="22"/>
              </w:rPr>
              <w:t>2018. godina</w:t>
            </w:r>
          </w:p>
        </w:tc>
        <w:tc>
          <w:tcPr>
            <w:tcW w:w="926" w:type="dxa"/>
            <w:tcBorders>
              <w:top w:val="single" w:sz="4" w:space="0" w:color="auto"/>
              <w:left w:val="nil"/>
              <w:bottom w:val="single" w:sz="4" w:space="0" w:color="auto"/>
              <w:right w:val="single" w:sz="4" w:space="0" w:color="auto"/>
            </w:tcBorders>
            <w:vAlign w:val="center"/>
          </w:tcPr>
          <w:p w14:paraId="6D1C531D" w14:textId="77777777" w:rsidR="00BC5EA5" w:rsidRPr="00BC5EA5" w:rsidRDefault="00BC5EA5" w:rsidP="00B24573">
            <w:pPr>
              <w:spacing w:line="256" w:lineRule="auto"/>
              <w:jc w:val="center"/>
              <w:rPr>
                <w:b/>
                <w:bCs/>
                <w:iCs/>
                <w:color w:val="auto"/>
                <w:sz w:val="22"/>
              </w:rPr>
            </w:pPr>
            <w:r w:rsidRPr="00BC5EA5">
              <w:rPr>
                <w:b/>
                <w:bCs/>
                <w:iCs/>
                <w:color w:val="auto"/>
                <w:sz w:val="22"/>
              </w:rPr>
              <w:t>2017. godina</w:t>
            </w:r>
          </w:p>
        </w:tc>
        <w:tc>
          <w:tcPr>
            <w:tcW w:w="926" w:type="dxa"/>
            <w:tcBorders>
              <w:top w:val="single" w:sz="4" w:space="0" w:color="auto"/>
              <w:left w:val="nil"/>
              <w:bottom w:val="single" w:sz="4" w:space="0" w:color="auto"/>
              <w:right w:val="single" w:sz="4" w:space="0" w:color="auto"/>
            </w:tcBorders>
            <w:vAlign w:val="center"/>
          </w:tcPr>
          <w:p w14:paraId="72AD65BC" w14:textId="77777777" w:rsidR="00BC5EA5" w:rsidRPr="00BC5EA5" w:rsidRDefault="00BC5EA5" w:rsidP="00B24573">
            <w:pPr>
              <w:spacing w:line="256" w:lineRule="auto"/>
              <w:jc w:val="center"/>
              <w:rPr>
                <w:b/>
                <w:bCs/>
                <w:iCs/>
                <w:color w:val="auto"/>
                <w:sz w:val="22"/>
              </w:rPr>
            </w:pPr>
            <w:r w:rsidRPr="00BC5EA5">
              <w:rPr>
                <w:b/>
                <w:bCs/>
                <w:iCs/>
                <w:color w:val="auto"/>
                <w:sz w:val="22"/>
              </w:rPr>
              <w:t>2016. godina</w:t>
            </w:r>
          </w:p>
        </w:tc>
        <w:tc>
          <w:tcPr>
            <w:tcW w:w="925" w:type="dxa"/>
            <w:tcBorders>
              <w:top w:val="single" w:sz="4" w:space="0" w:color="auto"/>
              <w:left w:val="nil"/>
              <w:bottom w:val="single" w:sz="4" w:space="0" w:color="auto"/>
              <w:right w:val="single" w:sz="4" w:space="0" w:color="auto"/>
            </w:tcBorders>
            <w:vAlign w:val="center"/>
          </w:tcPr>
          <w:p w14:paraId="0124D436" w14:textId="77777777" w:rsidR="00BC5EA5" w:rsidRPr="00BC5EA5" w:rsidRDefault="00BC5EA5" w:rsidP="00B24573">
            <w:pPr>
              <w:spacing w:line="256" w:lineRule="auto"/>
              <w:jc w:val="center"/>
              <w:rPr>
                <w:b/>
                <w:bCs/>
                <w:iCs/>
                <w:color w:val="auto"/>
                <w:sz w:val="22"/>
              </w:rPr>
            </w:pPr>
            <w:r w:rsidRPr="00BC5EA5">
              <w:rPr>
                <w:b/>
                <w:bCs/>
                <w:iCs/>
                <w:color w:val="auto"/>
                <w:sz w:val="22"/>
              </w:rPr>
              <w:t>2015. godina</w:t>
            </w:r>
          </w:p>
        </w:tc>
        <w:tc>
          <w:tcPr>
            <w:tcW w:w="926" w:type="dxa"/>
            <w:tcBorders>
              <w:top w:val="single" w:sz="4" w:space="0" w:color="auto"/>
              <w:left w:val="nil"/>
              <w:bottom w:val="single" w:sz="4" w:space="0" w:color="auto"/>
              <w:right w:val="single" w:sz="4" w:space="0" w:color="auto"/>
            </w:tcBorders>
            <w:vAlign w:val="center"/>
          </w:tcPr>
          <w:p w14:paraId="7CEDD948" w14:textId="77777777" w:rsidR="00BC5EA5" w:rsidRPr="00BC5EA5" w:rsidRDefault="00BC5EA5" w:rsidP="00B24573">
            <w:pPr>
              <w:spacing w:line="256" w:lineRule="auto"/>
              <w:jc w:val="center"/>
              <w:rPr>
                <w:b/>
                <w:bCs/>
                <w:iCs/>
                <w:color w:val="auto"/>
                <w:sz w:val="22"/>
              </w:rPr>
            </w:pPr>
            <w:r w:rsidRPr="00BC5EA5">
              <w:rPr>
                <w:b/>
                <w:bCs/>
                <w:iCs/>
                <w:color w:val="auto"/>
                <w:sz w:val="22"/>
              </w:rPr>
              <w:t>2014. godina</w:t>
            </w:r>
          </w:p>
        </w:tc>
        <w:tc>
          <w:tcPr>
            <w:tcW w:w="926" w:type="dxa"/>
            <w:tcBorders>
              <w:top w:val="single" w:sz="4" w:space="0" w:color="auto"/>
              <w:left w:val="nil"/>
              <w:bottom w:val="single" w:sz="4" w:space="0" w:color="auto"/>
              <w:right w:val="single" w:sz="4" w:space="0" w:color="auto"/>
            </w:tcBorders>
            <w:vAlign w:val="center"/>
          </w:tcPr>
          <w:p w14:paraId="4BB58BCE" w14:textId="77777777" w:rsidR="00BC5EA5" w:rsidRPr="00BC5EA5" w:rsidRDefault="00BC5EA5" w:rsidP="00B24573">
            <w:pPr>
              <w:spacing w:line="256" w:lineRule="auto"/>
              <w:jc w:val="center"/>
              <w:rPr>
                <w:b/>
                <w:bCs/>
                <w:iCs/>
                <w:color w:val="auto"/>
                <w:sz w:val="22"/>
              </w:rPr>
            </w:pPr>
            <w:r w:rsidRPr="00BC5EA5">
              <w:rPr>
                <w:b/>
                <w:bCs/>
                <w:iCs/>
                <w:color w:val="auto"/>
                <w:sz w:val="22"/>
              </w:rPr>
              <w:t>2013. godina</w:t>
            </w:r>
          </w:p>
        </w:tc>
      </w:tr>
      <w:tr w:rsidR="00BC5EA5" w:rsidRPr="00BC5EA5" w14:paraId="7276D995" w14:textId="77777777" w:rsidTr="00BC5EA5">
        <w:trPr>
          <w:trHeight w:val="935"/>
        </w:trPr>
        <w:tc>
          <w:tcPr>
            <w:tcW w:w="4634" w:type="dxa"/>
            <w:tcBorders>
              <w:top w:val="nil"/>
              <w:left w:val="single" w:sz="4" w:space="0" w:color="auto"/>
              <w:bottom w:val="single" w:sz="4" w:space="0" w:color="auto"/>
              <w:right w:val="single" w:sz="4" w:space="0" w:color="auto"/>
            </w:tcBorders>
            <w:vAlign w:val="center"/>
          </w:tcPr>
          <w:p w14:paraId="23AA4EBB" w14:textId="77777777" w:rsidR="00BC5EA5" w:rsidRPr="00BC5EA5" w:rsidRDefault="00BC5EA5" w:rsidP="00B24573">
            <w:pPr>
              <w:spacing w:line="256" w:lineRule="auto"/>
              <w:rPr>
                <w:iCs/>
                <w:color w:val="auto"/>
              </w:rPr>
            </w:pPr>
            <w:r w:rsidRPr="00BC5EA5">
              <w:rPr>
                <w:iCs/>
                <w:color w:val="auto"/>
              </w:rPr>
              <w:t>Odobreni/produženi privremeni boravci po osnovu izdate radne dozvole</w:t>
            </w:r>
          </w:p>
        </w:tc>
        <w:tc>
          <w:tcPr>
            <w:tcW w:w="925" w:type="dxa"/>
            <w:tcBorders>
              <w:top w:val="single" w:sz="4" w:space="0" w:color="auto"/>
              <w:left w:val="nil"/>
              <w:bottom w:val="single" w:sz="4" w:space="0" w:color="auto"/>
              <w:right w:val="single" w:sz="4" w:space="0" w:color="auto"/>
            </w:tcBorders>
            <w:vAlign w:val="center"/>
          </w:tcPr>
          <w:p w14:paraId="579B26A3" w14:textId="77777777" w:rsidR="00BC5EA5" w:rsidRPr="00BC5EA5" w:rsidRDefault="00BC5EA5" w:rsidP="00B24573">
            <w:pPr>
              <w:spacing w:line="256" w:lineRule="auto"/>
              <w:jc w:val="center"/>
              <w:rPr>
                <w:iCs/>
                <w:color w:val="auto"/>
              </w:rPr>
            </w:pPr>
            <w:r w:rsidRPr="00BC5EA5">
              <w:rPr>
                <w:iCs/>
                <w:color w:val="auto"/>
              </w:rPr>
              <w:t>2.569</w:t>
            </w:r>
          </w:p>
        </w:tc>
        <w:tc>
          <w:tcPr>
            <w:tcW w:w="926" w:type="dxa"/>
            <w:tcBorders>
              <w:top w:val="single" w:sz="4" w:space="0" w:color="auto"/>
              <w:left w:val="nil"/>
              <w:bottom w:val="single" w:sz="4" w:space="0" w:color="auto"/>
              <w:right w:val="single" w:sz="4" w:space="0" w:color="auto"/>
            </w:tcBorders>
            <w:vAlign w:val="center"/>
          </w:tcPr>
          <w:p w14:paraId="762618B9" w14:textId="77777777" w:rsidR="00BC5EA5" w:rsidRPr="00BC5EA5" w:rsidRDefault="00BC5EA5" w:rsidP="00B24573">
            <w:pPr>
              <w:spacing w:line="256" w:lineRule="auto"/>
              <w:jc w:val="center"/>
              <w:rPr>
                <w:iCs/>
                <w:color w:val="auto"/>
              </w:rPr>
            </w:pPr>
            <w:r w:rsidRPr="00BC5EA5">
              <w:rPr>
                <w:iCs/>
                <w:color w:val="auto"/>
              </w:rPr>
              <w:t>2.611</w:t>
            </w:r>
          </w:p>
        </w:tc>
        <w:tc>
          <w:tcPr>
            <w:tcW w:w="926" w:type="dxa"/>
            <w:tcBorders>
              <w:top w:val="single" w:sz="4" w:space="0" w:color="auto"/>
              <w:left w:val="nil"/>
              <w:bottom w:val="single" w:sz="4" w:space="0" w:color="auto"/>
              <w:right w:val="single" w:sz="4" w:space="0" w:color="auto"/>
            </w:tcBorders>
            <w:vAlign w:val="center"/>
          </w:tcPr>
          <w:p w14:paraId="2E8F656C" w14:textId="77777777" w:rsidR="00BC5EA5" w:rsidRPr="00BC5EA5" w:rsidRDefault="00BC5EA5" w:rsidP="00B24573">
            <w:pPr>
              <w:spacing w:line="256" w:lineRule="auto"/>
              <w:jc w:val="center"/>
              <w:rPr>
                <w:iCs/>
                <w:color w:val="auto"/>
              </w:rPr>
            </w:pPr>
            <w:r w:rsidRPr="00BC5EA5">
              <w:rPr>
                <w:iCs/>
                <w:color w:val="auto"/>
              </w:rPr>
              <w:t>2.409</w:t>
            </w:r>
          </w:p>
        </w:tc>
        <w:tc>
          <w:tcPr>
            <w:tcW w:w="925" w:type="dxa"/>
            <w:tcBorders>
              <w:top w:val="single" w:sz="4" w:space="0" w:color="auto"/>
              <w:left w:val="nil"/>
              <w:bottom w:val="single" w:sz="4" w:space="0" w:color="auto"/>
              <w:right w:val="single" w:sz="4" w:space="0" w:color="auto"/>
            </w:tcBorders>
            <w:vAlign w:val="center"/>
          </w:tcPr>
          <w:p w14:paraId="4E32AF95" w14:textId="77777777" w:rsidR="00BC5EA5" w:rsidRPr="00BC5EA5" w:rsidRDefault="00BC5EA5" w:rsidP="00B24573">
            <w:pPr>
              <w:spacing w:line="256" w:lineRule="auto"/>
              <w:jc w:val="center"/>
              <w:rPr>
                <w:iCs/>
                <w:color w:val="auto"/>
              </w:rPr>
            </w:pPr>
            <w:r w:rsidRPr="00BC5EA5">
              <w:rPr>
                <w:iCs/>
                <w:color w:val="auto"/>
              </w:rPr>
              <w:t>2.405</w:t>
            </w:r>
          </w:p>
        </w:tc>
        <w:tc>
          <w:tcPr>
            <w:tcW w:w="926" w:type="dxa"/>
            <w:tcBorders>
              <w:top w:val="single" w:sz="4" w:space="0" w:color="auto"/>
              <w:left w:val="nil"/>
              <w:bottom w:val="single" w:sz="4" w:space="0" w:color="auto"/>
              <w:right w:val="single" w:sz="4" w:space="0" w:color="auto"/>
            </w:tcBorders>
            <w:vAlign w:val="center"/>
          </w:tcPr>
          <w:p w14:paraId="0986CEAF" w14:textId="77777777" w:rsidR="00BC5EA5" w:rsidRPr="00BC5EA5" w:rsidRDefault="00BC5EA5" w:rsidP="00B24573">
            <w:pPr>
              <w:spacing w:line="256" w:lineRule="auto"/>
              <w:jc w:val="center"/>
              <w:rPr>
                <w:iCs/>
                <w:color w:val="auto"/>
              </w:rPr>
            </w:pPr>
            <w:r w:rsidRPr="00BC5EA5">
              <w:rPr>
                <w:iCs/>
                <w:color w:val="auto"/>
              </w:rPr>
              <w:t>2.301</w:t>
            </w:r>
          </w:p>
        </w:tc>
        <w:tc>
          <w:tcPr>
            <w:tcW w:w="926" w:type="dxa"/>
            <w:tcBorders>
              <w:top w:val="single" w:sz="4" w:space="0" w:color="auto"/>
              <w:left w:val="nil"/>
              <w:bottom w:val="single" w:sz="4" w:space="0" w:color="auto"/>
              <w:right w:val="single" w:sz="4" w:space="0" w:color="auto"/>
            </w:tcBorders>
            <w:vAlign w:val="center"/>
          </w:tcPr>
          <w:p w14:paraId="13B3C41A" w14:textId="77777777" w:rsidR="00BC5EA5" w:rsidRPr="00BC5EA5" w:rsidRDefault="00BC5EA5" w:rsidP="00B24573">
            <w:pPr>
              <w:spacing w:line="256" w:lineRule="auto"/>
              <w:jc w:val="center"/>
              <w:rPr>
                <w:iCs/>
                <w:color w:val="auto"/>
              </w:rPr>
            </w:pPr>
            <w:r w:rsidRPr="00BC5EA5">
              <w:rPr>
                <w:iCs/>
                <w:color w:val="auto"/>
              </w:rPr>
              <w:t>2.171</w:t>
            </w:r>
          </w:p>
        </w:tc>
      </w:tr>
      <w:tr w:rsidR="00BC5EA5" w:rsidRPr="00BC5EA5" w14:paraId="0A1D38D6" w14:textId="77777777" w:rsidTr="00BC5EA5">
        <w:trPr>
          <w:trHeight w:val="673"/>
        </w:trPr>
        <w:tc>
          <w:tcPr>
            <w:tcW w:w="4634" w:type="dxa"/>
            <w:tcBorders>
              <w:top w:val="nil"/>
              <w:left w:val="single" w:sz="4" w:space="0" w:color="auto"/>
              <w:bottom w:val="single" w:sz="4" w:space="0" w:color="auto"/>
              <w:right w:val="single" w:sz="4" w:space="0" w:color="auto"/>
            </w:tcBorders>
            <w:vAlign w:val="center"/>
          </w:tcPr>
          <w:p w14:paraId="5486158D" w14:textId="77777777" w:rsidR="00BC5EA5" w:rsidRPr="00BC5EA5" w:rsidRDefault="00BC5EA5" w:rsidP="00B24573">
            <w:pPr>
              <w:spacing w:line="256" w:lineRule="auto"/>
              <w:rPr>
                <w:iCs/>
                <w:color w:val="auto"/>
              </w:rPr>
            </w:pPr>
            <w:r w:rsidRPr="00BC5EA5">
              <w:rPr>
                <w:iCs/>
                <w:color w:val="auto"/>
              </w:rPr>
              <w:t>Odobreni/produženi privremeni boravci po osnovu rada bez radne dozvole</w:t>
            </w:r>
          </w:p>
        </w:tc>
        <w:tc>
          <w:tcPr>
            <w:tcW w:w="925" w:type="dxa"/>
            <w:tcBorders>
              <w:top w:val="single" w:sz="4" w:space="0" w:color="auto"/>
              <w:left w:val="nil"/>
              <w:bottom w:val="single" w:sz="4" w:space="0" w:color="auto"/>
              <w:right w:val="single" w:sz="4" w:space="0" w:color="auto"/>
            </w:tcBorders>
            <w:vAlign w:val="center"/>
          </w:tcPr>
          <w:p w14:paraId="36F595C5" w14:textId="77777777" w:rsidR="00BC5EA5" w:rsidRPr="00BC5EA5" w:rsidRDefault="00BC5EA5" w:rsidP="00B24573">
            <w:pPr>
              <w:spacing w:line="256" w:lineRule="auto"/>
              <w:jc w:val="center"/>
              <w:rPr>
                <w:iCs/>
                <w:color w:val="auto"/>
              </w:rPr>
            </w:pPr>
            <w:r w:rsidRPr="00BC5EA5">
              <w:rPr>
                <w:iCs/>
                <w:color w:val="auto"/>
              </w:rPr>
              <w:t>684</w:t>
            </w:r>
          </w:p>
        </w:tc>
        <w:tc>
          <w:tcPr>
            <w:tcW w:w="926" w:type="dxa"/>
            <w:tcBorders>
              <w:top w:val="single" w:sz="4" w:space="0" w:color="auto"/>
              <w:left w:val="nil"/>
              <w:bottom w:val="single" w:sz="4" w:space="0" w:color="auto"/>
              <w:right w:val="single" w:sz="4" w:space="0" w:color="auto"/>
            </w:tcBorders>
            <w:vAlign w:val="center"/>
          </w:tcPr>
          <w:p w14:paraId="067F6E5A" w14:textId="77777777" w:rsidR="00BC5EA5" w:rsidRPr="00BC5EA5" w:rsidRDefault="00BC5EA5" w:rsidP="00B24573">
            <w:pPr>
              <w:spacing w:line="256" w:lineRule="auto"/>
              <w:jc w:val="center"/>
              <w:rPr>
                <w:iCs/>
                <w:color w:val="auto"/>
              </w:rPr>
            </w:pPr>
            <w:r w:rsidRPr="00BC5EA5">
              <w:rPr>
                <w:iCs/>
                <w:color w:val="auto"/>
              </w:rPr>
              <w:t>764</w:t>
            </w:r>
          </w:p>
        </w:tc>
        <w:tc>
          <w:tcPr>
            <w:tcW w:w="926" w:type="dxa"/>
            <w:tcBorders>
              <w:top w:val="single" w:sz="4" w:space="0" w:color="auto"/>
              <w:left w:val="nil"/>
              <w:bottom w:val="single" w:sz="4" w:space="0" w:color="auto"/>
              <w:right w:val="single" w:sz="4" w:space="0" w:color="auto"/>
            </w:tcBorders>
            <w:vAlign w:val="center"/>
          </w:tcPr>
          <w:p w14:paraId="61B9269E" w14:textId="77777777" w:rsidR="00BC5EA5" w:rsidRPr="00BC5EA5" w:rsidRDefault="00BC5EA5" w:rsidP="00B24573">
            <w:pPr>
              <w:spacing w:line="256" w:lineRule="auto"/>
              <w:jc w:val="center"/>
              <w:rPr>
                <w:iCs/>
                <w:color w:val="auto"/>
              </w:rPr>
            </w:pPr>
            <w:r w:rsidRPr="00BC5EA5">
              <w:rPr>
                <w:iCs/>
                <w:color w:val="auto"/>
              </w:rPr>
              <w:t>924</w:t>
            </w:r>
          </w:p>
        </w:tc>
        <w:tc>
          <w:tcPr>
            <w:tcW w:w="925" w:type="dxa"/>
            <w:tcBorders>
              <w:top w:val="single" w:sz="4" w:space="0" w:color="auto"/>
              <w:left w:val="nil"/>
              <w:bottom w:val="single" w:sz="4" w:space="0" w:color="auto"/>
              <w:right w:val="single" w:sz="4" w:space="0" w:color="auto"/>
            </w:tcBorders>
            <w:vAlign w:val="center"/>
          </w:tcPr>
          <w:p w14:paraId="170B76E2" w14:textId="77777777" w:rsidR="00BC5EA5" w:rsidRPr="00BC5EA5" w:rsidRDefault="00BC5EA5" w:rsidP="00B24573">
            <w:pPr>
              <w:spacing w:line="256" w:lineRule="auto"/>
              <w:jc w:val="center"/>
              <w:rPr>
                <w:iCs/>
                <w:color w:val="auto"/>
              </w:rPr>
            </w:pPr>
            <w:r w:rsidRPr="00BC5EA5">
              <w:rPr>
                <w:iCs/>
                <w:color w:val="auto"/>
              </w:rPr>
              <w:t>1.831</w:t>
            </w:r>
          </w:p>
        </w:tc>
        <w:tc>
          <w:tcPr>
            <w:tcW w:w="926" w:type="dxa"/>
            <w:tcBorders>
              <w:top w:val="single" w:sz="4" w:space="0" w:color="auto"/>
              <w:left w:val="nil"/>
              <w:bottom w:val="single" w:sz="4" w:space="0" w:color="auto"/>
              <w:right w:val="single" w:sz="4" w:space="0" w:color="auto"/>
            </w:tcBorders>
            <w:vAlign w:val="center"/>
          </w:tcPr>
          <w:p w14:paraId="2DDC7CC4" w14:textId="77777777" w:rsidR="00BC5EA5" w:rsidRPr="00BC5EA5" w:rsidRDefault="00BC5EA5" w:rsidP="00B24573">
            <w:pPr>
              <w:spacing w:line="256" w:lineRule="auto"/>
              <w:jc w:val="center"/>
              <w:rPr>
                <w:iCs/>
                <w:color w:val="auto"/>
              </w:rPr>
            </w:pPr>
            <w:r w:rsidRPr="00BC5EA5">
              <w:rPr>
                <w:iCs/>
                <w:color w:val="auto"/>
              </w:rPr>
              <w:t>2.066</w:t>
            </w:r>
          </w:p>
        </w:tc>
        <w:tc>
          <w:tcPr>
            <w:tcW w:w="926" w:type="dxa"/>
            <w:tcBorders>
              <w:top w:val="single" w:sz="4" w:space="0" w:color="auto"/>
              <w:left w:val="nil"/>
              <w:bottom w:val="single" w:sz="4" w:space="0" w:color="auto"/>
              <w:right w:val="single" w:sz="4" w:space="0" w:color="auto"/>
            </w:tcBorders>
            <w:vAlign w:val="center"/>
          </w:tcPr>
          <w:p w14:paraId="7EAB3BAC" w14:textId="77777777" w:rsidR="00BC5EA5" w:rsidRPr="00BC5EA5" w:rsidRDefault="00BC5EA5" w:rsidP="00B24573">
            <w:pPr>
              <w:spacing w:line="256" w:lineRule="auto"/>
              <w:jc w:val="center"/>
              <w:rPr>
                <w:iCs/>
                <w:color w:val="auto"/>
              </w:rPr>
            </w:pPr>
            <w:r w:rsidRPr="00BC5EA5">
              <w:rPr>
                <w:iCs/>
                <w:color w:val="auto"/>
              </w:rPr>
              <w:t>1.377</w:t>
            </w:r>
          </w:p>
        </w:tc>
      </w:tr>
      <w:tr w:rsidR="00BC5EA5" w:rsidRPr="00BC5EA5" w14:paraId="3AD43FEA" w14:textId="77777777" w:rsidTr="00BC5EA5">
        <w:trPr>
          <w:trHeight w:val="346"/>
        </w:trPr>
        <w:tc>
          <w:tcPr>
            <w:tcW w:w="4634" w:type="dxa"/>
            <w:tcBorders>
              <w:top w:val="nil"/>
              <w:left w:val="single" w:sz="4" w:space="0" w:color="auto"/>
              <w:bottom w:val="single" w:sz="4" w:space="0" w:color="auto"/>
              <w:right w:val="single" w:sz="4" w:space="0" w:color="auto"/>
            </w:tcBorders>
            <w:vAlign w:val="center"/>
          </w:tcPr>
          <w:p w14:paraId="1E1A2D41" w14:textId="77777777" w:rsidR="00BC5EA5" w:rsidRPr="00BC5EA5" w:rsidRDefault="00BC5EA5" w:rsidP="00B24573">
            <w:pPr>
              <w:spacing w:line="256" w:lineRule="auto"/>
              <w:rPr>
                <w:b/>
                <w:iCs/>
                <w:color w:val="auto"/>
              </w:rPr>
            </w:pPr>
            <w:r w:rsidRPr="00BC5EA5">
              <w:rPr>
                <w:b/>
                <w:iCs/>
                <w:color w:val="auto"/>
              </w:rPr>
              <w:t>TOTAL</w:t>
            </w:r>
          </w:p>
        </w:tc>
        <w:tc>
          <w:tcPr>
            <w:tcW w:w="925" w:type="dxa"/>
            <w:tcBorders>
              <w:top w:val="single" w:sz="4" w:space="0" w:color="auto"/>
              <w:left w:val="nil"/>
              <w:bottom w:val="single" w:sz="4" w:space="0" w:color="auto"/>
              <w:right w:val="single" w:sz="4" w:space="0" w:color="auto"/>
            </w:tcBorders>
            <w:vAlign w:val="center"/>
          </w:tcPr>
          <w:p w14:paraId="6D46E356" w14:textId="77777777" w:rsidR="00BC5EA5" w:rsidRPr="00BC5EA5" w:rsidRDefault="00BC5EA5" w:rsidP="00B24573">
            <w:pPr>
              <w:spacing w:line="256" w:lineRule="auto"/>
              <w:jc w:val="center"/>
              <w:rPr>
                <w:b/>
                <w:iCs/>
                <w:color w:val="auto"/>
              </w:rPr>
            </w:pPr>
            <w:r w:rsidRPr="00BC5EA5">
              <w:rPr>
                <w:b/>
                <w:iCs/>
                <w:color w:val="auto"/>
              </w:rPr>
              <w:t>3.253</w:t>
            </w:r>
          </w:p>
        </w:tc>
        <w:tc>
          <w:tcPr>
            <w:tcW w:w="926" w:type="dxa"/>
            <w:tcBorders>
              <w:top w:val="single" w:sz="4" w:space="0" w:color="auto"/>
              <w:left w:val="nil"/>
              <w:bottom w:val="single" w:sz="4" w:space="0" w:color="auto"/>
              <w:right w:val="single" w:sz="4" w:space="0" w:color="auto"/>
            </w:tcBorders>
            <w:vAlign w:val="center"/>
          </w:tcPr>
          <w:p w14:paraId="538C5A72" w14:textId="77777777" w:rsidR="00BC5EA5" w:rsidRPr="00BC5EA5" w:rsidRDefault="00BC5EA5" w:rsidP="00B24573">
            <w:pPr>
              <w:spacing w:line="256" w:lineRule="auto"/>
              <w:jc w:val="center"/>
              <w:rPr>
                <w:b/>
                <w:iCs/>
                <w:color w:val="auto"/>
              </w:rPr>
            </w:pPr>
            <w:r w:rsidRPr="00BC5EA5">
              <w:rPr>
                <w:b/>
                <w:iCs/>
                <w:color w:val="auto"/>
              </w:rPr>
              <w:t>3.375</w:t>
            </w:r>
          </w:p>
        </w:tc>
        <w:tc>
          <w:tcPr>
            <w:tcW w:w="926" w:type="dxa"/>
            <w:tcBorders>
              <w:top w:val="single" w:sz="4" w:space="0" w:color="auto"/>
              <w:left w:val="nil"/>
              <w:bottom w:val="single" w:sz="4" w:space="0" w:color="auto"/>
              <w:right w:val="single" w:sz="4" w:space="0" w:color="auto"/>
            </w:tcBorders>
            <w:vAlign w:val="center"/>
          </w:tcPr>
          <w:p w14:paraId="4A769929" w14:textId="77777777" w:rsidR="00BC5EA5" w:rsidRPr="00BC5EA5" w:rsidRDefault="00BC5EA5" w:rsidP="00B24573">
            <w:pPr>
              <w:spacing w:line="256" w:lineRule="auto"/>
              <w:jc w:val="center"/>
              <w:rPr>
                <w:b/>
                <w:iCs/>
                <w:color w:val="auto"/>
              </w:rPr>
            </w:pPr>
            <w:r w:rsidRPr="00BC5EA5">
              <w:rPr>
                <w:b/>
                <w:iCs/>
                <w:color w:val="auto"/>
              </w:rPr>
              <w:t>3.333</w:t>
            </w:r>
          </w:p>
        </w:tc>
        <w:tc>
          <w:tcPr>
            <w:tcW w:w="925" w:type="dxa"/>
            <w:tcBorders>
              <w:top w:val="single" w:sz="4" w:space="0" w:color="auto"/>
              <w:left w:val="nil"/>
              <w:bottom w:val="single" w:sz="4" w:space="0" w:color="auto"/>
              <w:right w:val="single" w:sz="4" w:space="0" w:color="auto"/>
            </w:tcBorders>
            <w:vAlign w:val="center"/>
          </w:tcPr>
          <w:p w14:paraId="42DE9A41" w14:textId="77777777" w:rsidR="00BC5EA5" w:rsidRPr="00BC5EA5" w:rsidRDefault="00BC5EA5" w:rsidP="00B24573">
            <w:pPr>
              <w:spacing w:line="256" w:lineRule="auto"/>
              <w:jc w:val="center"/>
              <w:rPr>
                <w:b/>
                <w:iCs/>
                <w:color w:val="auto"/>
              </w:rPr>
            </w:pPr>
            <w:r w:rsidRPr="00BC5EA5">
              <w:rPr>
                <w:b/>
                <w:iCs/>
                <w:color w:val="auto"/>
              </w:rPr>
              <w:t>4.236</w:t>
            </w:r>
          </w:p>
        </w:tc>
        <w:tc>
          <w:tcPr>
            <w:tcW w:w="926" w:type="dxa"/>
            <w:tcBorders>
              <w:top w:val="single" w:sz="4" w:space="0" w:color="auto"/>
              <w:left w:val="nil"/>
              <w:bottom w:val="single" w:sz="4" w:space="0" w:color="auto"/>
              <w:right w:val="single" w:sz="4" w:space="0" w:color="auto"/>
            </w:tcBorders>
            <w:vAlign w:val="center"/>
          </w:tcPr>
          <w:p w14:paraId="70D079B7" w14:textId="77777777" w:rsidR="00BC5EA5" w:rsidRPr="00BC5EA5" w:rsidRDefault="00BC5EA5" w:rsidP="00B24573">
            <w:pPr>
              <w:spacing w:line="256" w:lineRule="auto"/>
              <w:jc w:val="center"/>
              <w:rPr>
                <w:b/>
                <w:iCs/>
                <w:color w:val="auto"/>
              </w:rPr>
            </w:pPr>
            <w:r w:rsidRPr="00BC5EA5">
              <w:rPr>
                <w:b/>
                <w:iCs/>
                <w:color w:val="auto"/>
              </w:rPr>
              <w:t>4.367</w:t>
            </w:r>
          </w:p>
        </w:tc>
        <w:tc>
          <w:tcPr>
            <w:tcW w:w="926" w:type="dxa"/>
            <w:tcBorders>
              <w:top w:val="single" w:sz="4" w:space="0" w:color="auto"/>
              <w:left w:val="nil"/>
              <w:bottom w:val="single" w:sz="4" w:space="0" w:color="auto"/>
              <w:right w:val="single" w:sz="4" w:space="0" w:color="auto"/>
            </w:tcBorders>
            <w:vAlign w:val="center"/>
          </w:tcPr>
          <w:p w14:paraId="08DA53F9" w14:textId="77777777" w:rsidR="00BC5EA5" w:rsidRPr="00BC5EA5" w:rsidRDefault="00BC5EA5" w:rsidP="00B24573">
            <w:pPr>
              <w:spacing w:line="256" w:lineRule="auto"/>
              <w:jc w:val="center"/>
              <w:rPr>
                <w:b/>
                <w:iCs/>
                <w:color w:val="auto"/>
              </w:rPr>
            </w:pPr>
            <w:r w:rsidRPr="00BC5EA5">
              <w:rPr>
                <w:b/>
                <w:iCs/>
                <w:color w:val="auto"/>
              </w:rPr>
              <w:t>3.548</w:t>
            </w:r>
          </w:p>
        </w:tc>
      </w:tr>
    </w:tbl>
    <w:p w14:paraId="67B70BFC" w14:textId="69FD1466" w:rsidR="00915422" w:rsidRPr="00BC5EA5" w:rsidRDefault="00915422" w:rsidP="00915422">
      <w:pPr>
        <w:ind w:left="0" w:firstLine="0"/>
        <w:rPr>
          <w:i/>
          <w:color w:val="auto"/>
          <w:sz w:val="20"/>
          <w:szCs w:val="20"/>
          <w:lang w:eastAsia="en-US"/>
        </w:rPr>
      </w:pPr>
      <w:r w:rsidRPr="00BC5EA5">
        <w:rPr>
          <w:b/>
          <w:i/>
          <w:color w:val="auto"/>
          <w:sz w:val="20"/>
          <w:szCs w:val="20"/>
          <w:lang w:eastAsia="en-US"/>
        </w:rPr>
        <w:t>Izvor:</w:t>
      </w:r>
      <w:r w:rsidRPr="00BC5EA5">
        <w:rPr>
          <w:i/>
          <w:color w:val="auto"/>
          <w:sz w:val="20"/>
          <w:szCs w:val="20"/>
          <w:lang w:eastAsia="en-US"/>
        </w:rPr>
        <w:t xml:space="preserve"> Ministarstvo sigurnosti BiH-</w:t>
      </w:r>
      <w:r w:rsidRPr="00BC5EA5">
        <w:rPr>
          <w:i/>
          <w:color w:val="auto"/>
          <w:sz w:val="20"/>
          <w:szCs w:val="20"/>
        </w:rPr>
        <w:t xml:space="preserve"> Služba za poslove sa strancima</w:t>
      </w:r>
    </w:p>
    <w:p w14:paraId="7453A3E0" w14:textId="77777777" w:rsidR="00765CE7" w:rsidRPr="00521A29" w:rsidRDefault="00765CE7">
      <w:pPr>
        <w:spacing w:line="276" w:lineRule="auto"/>
        <w:ind w:hanging="567"/>
        <w:rPr>
          <w:color w:val="FF0000"/>
          <w:lang w:eastAsia="en-US"/>
        </w:rPr>
      </w:pPr>
    </w:p>
    <w:p w14:paraId="47C2C6B4" w14:textId="77777777" w:rsidR="00765CE7" w:rsidRPr="0099230F" w:rsidRDefault="00B80ACE">
      <w:pPr>
        <w:pStyle w:val="Heading3"/>
        <w:numPr>
          <w:ilvl w:val="2"/>
          <w:numId w:val="3"/>
        </w:numPr>
        <w:rPr>
          <w:rFonts w:ascii="Times New Roman" w:eastAsia="Arial Unicode MS" w:hAnsi="Times New Roman" w:cs="Times New Roman"/>
          <w:b/>
          <w:i/>
          <w:color w:val="auto"/>
        </w:rPr>
      </w:pPr>
      <w:bookmarkStart w:id="9" w:name="_Toc509226209"/>
      <w:bookmarkStart w:id="10" w:name="_Toc509225465"/>
      <w:bookmarkStart w:id="11" w:name="_Toc509225521"/>
      <w:r w:rsidRPr="0099230F">
        <w:rPr>
          <w:rFonts w:ascii="Times New Roman" w:eastAsia="Arial Unicode MS" w:hAnsi="Times New Roman" w:cs="Times New Roman"/>
          <w:b/>
          <w:i/>
          <w:color w:val="auto"/>
        </w:rPr>
        <w:t xml:space="preserve"> </w:t>
      </w:r>
      <w:bookmarkStart w:id="12" w:name="_Toc28010133"/>
      <w:r w:rsidRPr="0099230F">
        <w:rPr>
          <w:rFonts w:ascii="Times New Roman" w:eastAsia="Arial Unicode MS" w:hAnsi="Times New Roman" w:cs="Times New Roman"/>
          <w:b/>
          <w:i/>
          <w:color w:val="auto"/>
        </w:rPr>
        <w:t>Izdate potvrde o prijavi rada</w:t>
      </w:r>
      <w:bookmarkEnd w:id="9"/>
      <w:bookmarkEnd w:id="10"/>
      <w:bookmarkEnd w:id="11"/>
      <w:bookmarkEnd w:id="12"/>
      <w:r w:rsidRPr="0099230F">
        <w:rPr>
          <w:rFonts w:ascii="Times New Roman" w:eastAsia="Arial Unicode MS" w:hAnsi="Times New Roman" w:cs="Times New Roman"/>
          <w:b/>
          <w:i/>
          <w:color w:val="auto"/>
        </w:rPr>
        <w:t xml:space="preserve"> </w:t>
      </w:r>
    </w:p>
    <w:p w14:paraId="164DCAD3" w14:textId="77777777" w:rsidR="00765CE7" w:rsidRPr="0099230F" w:rsidRDefault="00765CE7">
      <w:pPr>
        <w:keepNext/>
        <w:ind w:left="720" w:hanging="360"/>
        <w:outlineLvl w:val="1"/>
        <w:rPr>
          <w:rFonts w:eastAsia="Arial Unicode MS"/>
          <w:b/>
          <w:bCs/>
          <w:iCs/>
          <w:color w:val="auto"/>
        </w:rPr>
      </w:pPr>
    </w:p>
    <w:p w14:paraId="416AB58D" w14:textId="5984603A" w:rsidR="00765CE7" w:rsidRPr="0099230F" w:rsidRDefault="00B80ACE">
      <w:pPr>
        <w:ind w:firstLine="0"/>
        <w:rPr>
          <w:color w:val="auto"/>
        </w:rPr>
      </w:pPr>
      <w:r w:rsidRPr="0099230F">
        <w:rPr>
          <w:color w:val="auto"/>
        </w:rPr>
        <w:t>Jedna od kvalitetnih aktivnosti koje sprovodi Služba</w:t>
      </w:r>
      <w:r w:rsidR="000B0C21" w:rsidRPr="0099230F">
        <w:rPr>
          <w:color w:val="auto"/>
        </w:rPr>
        <w:t xml:space="preserve"> za poslove sa strancima</w:t>
      </w:r>
      <w:r w:rsidRPr="0099230F">
        <w:rPr>
          <w:color w:val="auto"/>
        </w:rPr>
        <w:t xml:space="preserve">, za </w:t>
      </w:r>
      <w:r w:rsidR="00CB17D0" w:rsidRPr="0099230F">
        <w:rPr>
          <w:color w:val="auto"/>
        </w:rPr>
        <w:t>strance</w:t>
      </w:r>
      <w:r w:rsidRPr="0099230F">
        <w:rPr>
          <w:color w:val="auto"/>
        </w:rPr>
        <w:t xml:space="preserve"> za koj</w:t>
      </w:r>
      <w:r w:rsidR="00CB17D0" w:rsidRPr="0099230F">
        <w:rPr>
          <w:color w:val="auto"/>
        </w:rPr>
        <w:t>e</w:t>
      </w:r>
      <w:r w:rsidRPr="0099230F">
        <w:rPr>
          <w:color w:val="auto"/>
        </w:rPr>
        <w:t xml:space="preserve"> nije potrebna radna dozvola, je i izdavanje potvrde o prijavi rada, kojom se efikasno upravlja radnim aktivnostima stranih državljana dok borave u BiH. Tokom 201</w:t>
      </w:r>
      <w:r w:rsidR="0099230F" w:rsidRPr="0099230F">
        <w:rPr>
          <w:color w:val="auto"/>
        </w:rPr>
        <w:t>8</w:t>
      </w:r>
      <w:r w:rsidRPr="0099230F">
        <w:rPr>
          <w:color w:val="auto"/>
        </w:rPr>
        <w:t xml:space="preserve">. godine ukupno je </w:t>
      </w:r>
      <w:r w:rsidRPr="0099230F">
        <w:rPr>
          <w:b/>
          <w:color w:val="auto"/>
        </w:rPr>
        <w:t>izdato 5.</w:t>
      </w:r>
      <w:r w:rsidR="0099230F" w:rsidRPr="0099230F">
        <w:rPr>
          <w:b/>
          <w:color w:val="auto"/>
        </w:rPr>
        <w:t>586</w:t>
      </w:r>
      <w:r w:rsidRPr="0099230F">
        <w:rPr>
          <w:b/>
          <w:color w:val="auto"/>
        </w:rPr>
        <w:t xml:space="preserve"> potvrda o prijavi rada, </w:t>
      </w:r>
      <w:r w:rsidRPr="0099230F">
        <w:rPr>
          <w:color w:val="auto"/>
        </w:rPr>
        <w:t xml:space="preserve">što je </w:t>
      </w:r>
      <w:r w:rsidRPr="0099230F">
        <w:rPr>
          <w:b/>
          <w:color w:val="auto"/>
        </w:rPr>
        <w:t>uvećanje</w:t>
      </w:r>
      <w:r w:rsidRPr="0099230F">
        <w:rPr>
          <w:color w:val="auto"/>
        </w:rPr>
        <w:t xml:space="preserve"> od </w:t>
      </w:r>
      <w:r w:rsidR="0099230F" w:rsidRPr="0099230F">
        <w:rPr>
          <w:b/>
          <w:color w:val="auto"/>
        </w:rPr>
        <w:t>7</w:t>
      </w:r>
      <w:r w:rsidRPr="0099230F">
        <w:rPr>
          <w:b/>
          <w:color w:val="auto"/>
        </w:rPr>
        <w:t>,</w:t>
      </w:r>
      <w:r w:rsidR="0099230F" w:rsidRPr="0099230F">
        <w:rPr>
          <w:b/>
          <w:color w:val="auto"/>
        </w:rPr>
        <w:t>03</w:t>
      </w:r>
      <w:r w:rsidRPr="0099230F">
        <w:rPr>
          <w:b/>
          <w:color w:val="auto"/>
        </w:rPr>
        <w:t>%</w:t>
      </w:r>
      <w:r w:rsidRPr="0099230F">
        <w:rPr>
          <w:color w:val="auto"/>
        </w:rPr>
        <w:t xml:space="preserve"> u odnosu na 201</w:t>
      </w:r>
      <w:r w:rsidR="0099230F" w:rsidRPr="0099230F">
        <w:rPr>
          <w:color w:val="auto"/>
        </w:rPr>
        <w:t>7</w:t>
      </w:r>
      <w:r w:rsidRPr="0099230F">
        <w:rPr>
          <w:color w:val="auto"/>
        </w:rPr>
        <w:t xml:space="preserve">. godinu, kada je izdato </w:t>
      </w:r>
      <w:r w:rsidR="0099230F" w:rsidRPr="0099230F">
        <w:rPr>
          <w:color w:val="auto"/>
        </w:rPr>
        <w:t>5</w:t>
      </w:r>
      <w:r w:rsidRPr="0099230F">
        <w:rPr>
          <w:color w:val="auto"/>
        </w:rPr>
        <w:t>.</w:t>
      </w:r>
      <w:r w:rsidR="0099230F" w:rsidRPr="0099230F">
        <w:rPr>
          <w:color w:val="auto"/>
        </w:rPr>
        <w:t>219</w:t>
      </w:r>
      <w:r w:rsidRPr="0099230F">
        <w:rPr>
          <w:color w:val="auto"/>
        </w:rPr>
        <w:t xml:space="preserve"> potvrda o prijavi rada.</w:t>
      </w:r>
    </w:p>
    <w:p w14:paraId="35C3C534" w14:textId="5E78AED4" w:rsidR="00765CE7" w:rsidRPr="004B36FC" w:rsidRDefault="00B80ACE">
      <w:pPr>
        <w:ind w:firstLine="0"/>
        <w:rPr>
          <w:color w:val="auto"/>
        </w:rPr>
      </w:pPr>
      <w:r w:rsidRPr="004B36FC">
        <w:rPr>
          <w:color w:val="auto"/>
        </w:rPr>
        <w:t xml:space="preserve">Najveći broj izdatih potvrda je zabilježen u terenskim centrima </w:t>
      </w:r>
      <w:r w:rsidRPr="004B36FC">
        <w:rPr>
          <w:b/>
          <w:color w:val="auto"/>
        </w:rPr>
        <w:t>Sarajevo</w:t>
      </w:r>
      <w:r w:rsidR="004B36FC">
        <w:rPr>
          <w:b/>
          <w:color w:val="auto"/>
        </w:rPr>
        <w:t>,</w:t>
      </w:r>
      <w:r w:rsidR="004B36FC" w:rsidRPr="004B36FC">
        <w:rPr>
          <w:b/>
          <w:color w:val="auto"/>
        </w:rPr>
        <w:t xml:space="preserve"> </w:t>
      </w:r>
      <w:r w:rsidRPr="004B36FC">
        <w:rPr>
          <w:b/>
          <w:color w:val="auto"/>
        </w:rPr>
        <w:t xml:space="preserve">Zenica, Banja Luka, </w:t>
      </w:r>
      <w:r w:rsidR="004B36FC">
        <w:rPr>
          <w:b/>
          <w:color w:val="auto"/>
        </w:rPr>
        <w:t>Bijeljina</w:t>
      </w:r>
      <w:r w:rsidRPr="004B36FC">
        <w:rPr>
          <w:color w:val="auto"/>
        </w:rPr>
        <w:t>.</w:t>
      </w:r>
    </w:p>
    <w:p w14:paraId="327133B5" w14:textId="77777777" w:rsidR="00765CE7" w:rsidRPr="006844F3" w:rsidRDefault="00765CE7">
      <w:pPr>
        <w:ind w:firstLine="720"/>
        <w:rPr>
          <w:color w:val="auto"/>
        </w:rPr>
      </w:pPr>
    </w:p>
    <w:p w14:paraId="3BD97C19" w14:textId="153CCE08" w:rsidR="00765CE7" w:rsidRPr="006844F3" w:rsidRDefault="00B80ACE">
      <w:pPr>
        <w:ind w:firstLine="0"/>
        <w:rPr>
          <w:color w:val="auto"/>
        </w:rPr>
      </w:pPr>
      <w:r w:rsidRPr="006844F3">
        <w:rPr>
          <w:color w:val="auto"/>
        </w:rPr>
        <w:lastRenderedPageBreak/>
        <w:t xml:space="preserve">U </w:t>
      </w:r>
      <w:r w:rsidR="006844F3" w:rsidRPr="006844F3">
        <w:rPr>
          <w:color w:val="auto"/>
        </w:rPr>
        <w:t>narednoj</w:t>
      </w:r>
      <w:r w:rsidRPr="006844F3">
        <w:rPr>
          <w:color w:val="auto"/>
        </w:rPr>
        <w:t xml:space="preserve"> tabeli su prikazani podaci u periodu od 2013. – 201</w:t>
      </w:r>
      <w:r w:rsidR="006844F3" w:rsidRPr="006844F3">
        <w:rPr>
          <w:color w:val="auto"/>
        </w:rPr>
        <w:t>8</w:t>
      </w:r>
      <w:r w:rsidRPr="006844F3">
        <w:rPr>
          <w:color w:val="auto"/>
        </w:rPr>
        <w:t>. godine o broju izdatih potvrda o prijavi rada:</w:t>
      </w:r>
    </w:p>
    <w:p w14:paraId="217AA0A7" w14:textId="77777777" w:rsidR="00765CE7" w:rsidRPr="006844F3" w:rsidRDefault="00765CE7">
      <w:pPr>
        <w:ind w:firstLine="720"/>
        <w:rPr>
          <w:color w:val="auto"/>
        </w:rPr>
      </w:pPr>
    </w:p>
    <w:p w14:paraId="7871EAC6" w14:textId="5F438E67" w:rsidR="00765CE7" w:rsidRPr="003424EA" w:rsidRDefault="00B80ACE">
      <w:pPr>
        <w:spacing w:after="0" w:line="240" w:lineRule="auto"/>
        <w:ind w:left="-284" w:right="0" w:firstLine="0"/>
        <w:rPr>
          <w:b/>
          <w:i/>
          <w:color w:val="auto"/>
        </w:rPr>
      </w:pPr>
      <w:r w:rsidRPr="003424EA">
        <w:rPr>
          <w:b/>
          <w:i/>
          <w:color w:val="auto"/>
        </w:rPr>
        <w:t xml:space="preserve">Tabela </w:t>
      </w:r>
      <w:r w:rsidR="006844F3" w:rsidRPr="003424EA">
        <w:rPr>
          <w:b/>
          <w:i/>
          <w:color w:val="auto"/>
        </w:rPr>
        <w:t>3</w:t>
      </w:r>
      <w:r w:rsidRPr="003424EA">
        <w:rPr>
          <w:b/>
          <w:i/>
          <w:color w:val="auto"/>
        </w:rPr>
        <w:t>. Broj izdatih potvrda o prijavi rada u periodu 2013. - 201</w:t>
      </w:r>
      <w:r w:rsidR="006844F3" w:rsidRPr="003424EA">
        <w:rPr>
          <w:b/>
          <w:i/>
          <w:color w:val="auto"/>
        </w:rPr>
        <w:t>8</w:t>
      </w:r>
      <w:r w:rsidRPr="003424EA">
        <w:rPr>
          <w:b/>
          <w:i/>
          <w:color w:val="auto"/>
        </w:rPr>
        <w:t>. godina</w:t>
      </w:r>
    </w:p>
    <w:tbl>
      <w:tblPr>
        <w:tblW w:w="9582" w:type="dxa"/>
        <w:tblInd w:w="-209" w:type="dxa"/>
        <w:tblLayout w:type="fixed"/>
        <w:tblLook w:val="04A0" w:firstRow="1" w:lastRow="0" w:firstColumn="1" w:lastColumn="0" w:noHBand="0" w:noVBand="1"/>
      </w:tblPr>
      <w:tblGrid>
        <w:gridCol w:w="3294"/>
        <w:gridCol w:w="1063"/>
        <w:gridCol w:w="1045"/>
        <w:gridCol w:w="1045"/>
        <w:gridCol w:w="1045"/>
        <w:gridCol w:w="1045"/>
        <w:gridCol w:w="1045"/>
      </w:tblGrid>
      <w:tr w:rsidR="006844F3" w:rsidRPr="006844F3" w14:paraId="74B07271" w14:textId="77777777" w:rsidTr="006A3B36">
        <w:trPr>
          <w:trHeight w:val="582"/>
        </w:trPr>
        <w:tc>
          <w:tcPr>
            <w:tcW w:w="3294" w:type="dxa"/>
            <w:vMerge w:val="restart"/>
            <w:tcBorders>
              <w:top w:val="single" w:sz="4" w:space="0" w:color="auto"/>
              <w:left w:val="single" w:sz="4" w:space="0" w:color="auto"/>
              <w:right w:val="single" w:sz="4" w:space="0" w:color="auto"/>
            </w:tcBorders>
            <w:vAlign w:val="center"/>
          </w:tcPr>
          <w:p w14:paraId="128F30EB" w14:textId="61A9906D" w:rsidR="006A3B36" w:rsidRPr="006844F3" w:rsidRDefault="006A3B36">
            <w:pPr>
              <w:spacing w:line="256" w:lineRule="auto"/>
              <w:rPr>
                <w:iCs/>
                <w:color w:val="auto"/>
                <w:lang w:val="en-GB"/>
              </w:rPr>
            </w:pPr>
            <w:r w:rsidRPr="006844F3">
              <w:rPr>
                <w:iCs/>
                <w:color w:val="auto"/>
              </w:rPr>
              <w:t> Izdate potvrde o prijavi rada</w:t>
            </w:r>
          </w:p>
        </w:tc>
        <w:tc>
          <w:tcPr>
            <w:tcW w:w="1063" w:type="dxa"/>
            <w:tcBorders>
              <w:top w:val="single" w:sz="4" w:space="0" w:color="auto"/>
              <w:left w:val="single" w:sz="4" w:space="0" w:color="auto"/>
              <w:bottom w:val="single" w:sz="4" w:space="0" w:color="auto"/>
              <w:right w:val="single" w:sz="4" w:space="0" w:color="auto"/>
            </w:tcBorders>
            <w:vAlign w:val="center"/>
          </w:tcPr>
          <w:p w14:paraId="4548B267" w14:textId="54D53CE0" w:rsidR="006A3B36" w:rsidRPr="006844F3" w:rsidRDefault="006A3B36" w:rsidP="006A3B36">
            <w:pPr>
              <w:spacing w:line="256" w:lineRule="auto"/>
              <w:rPr>
                <w:iCs/>
                <w:color w:val="auto"/>
                <w:sz w:val="22"/>
                <w:lang w:val="en-GB"/>
              </w:rPr>
            </w:pPr>
            <w:r w:rsidRPr="006844F3">
              <w:rPr>
                <w:b/>
                <w:bCs/>
                <w:iCs/>
                <w:color w:val="auto"/>
                <w:sz w:val="22"/>
              </w:rPr>
              <w:t>2018. godina</w:t>
            </w:r>
          </w:p>
        </w:tc>
        <w:tc>
          <w:tcPr>
            <w:tcW w:w="1045" w:type="dxa"/>
            <w:tcBorders>
              <w:top w:val="single" w:sz="4" w:space="0" w:color="auto"/>
              <w:left w:val="nil"/>
              <w:bottom w:val="single" w:sz="4" w:space="0" w:color="auto"/>
              <w:right w:val="single" w:sz="4" w:space="0" w:color="auto"/>
            </w:tcBorders>
            <w:vAlign w:val="center"/>
          </w:tcPr>
          <w:p w14:paraId="10F0F8A8" w14:textId="77777777" w:rsidR="006A3B36" w:rsidRPr="006844F3" w:rsidRDefault="006A3B36">
            <w:pPr>
              <w:spacing w:line="256" w:lineRule="auto"/>
              <w:jc w:val="center"/>
              <w:rPr>
                <w:b/>
                <w:bCs/>
                <w:iCs/>
                <w:color w:val="auto"/>
                <w:sz w:val="22"/>
              </w:rPr>
            </w:pPr>
            <w:r w:rsidRPr="006844F3">
              <w:rPr>
                <w:b/>
                <w:bCs/>
                <w:iCs/>
                <w:color w:val="auto"/>
                <w:sz w:val="22"/>
              </w:rPr>
              <w:t>2017. godina</w:t>
            </w:r>
          </w:p>
        </w:tc>
        <w:tc>
          <w:tcPr>
            <w:tcW w:w="1045" w:type="dxa"/>
            <w:tcBorders>
              <w:top w:val="single" w:sz="4" w:space="0" w:color="auto"/>
              <w:left w:val="nil"/>
              <w:bottom w:val="single" w:sz="4" w:space="0" w:color="auto"/>
              <w:right w:val="single" w:sz="4" w:space="0" w:color="auto"/>
            </w:tcBorders>
            <w:vAlign w:val="center"/>
          </w:tcPr>
          <w:p w14:paraId="077FF357" w14:textId="77777777" w:rsidR="006A3B36" w:rsidRPr="006844F3" w:rsidRDefault="006A3B36">
            <w:pPr>
              <w:spacing w:line="256" w:lineRule="auto"/>
              <w:jc w:val="center"/>
              <w:rPr>
                <w:b/>
                <w:bCs/>
                <w:iCs/>
                <w:color w:val="auto"/>
                <w:sz w:val="22"/>
              </w:rPr>
            </w:pPr>
            <w:r w:rsidRPr="006844F3">
              <w:rPr>
                <w:b/>
                <w:bCs/>
                <w:iCs/>
                <w:color w:val="auto"/>
                <w:sz w:val="22"/>
              </w:rPr>
              <w:t>2016. godina</w:t>
            </w:r>
          </w:p>
        </w:tc>
        <w:tc>
          <w:tcPr>
            <w:tcW w:w="1045" w:type="dxa"/>
            <w:tcBorders>
              <w:top w:val="single" w:sz="4" w:space="0" w:color="auto"/>
              <w:left w:val="nil"/>
              <w:bottom w:val="single" w:sz="4" w:space="0" w:color="auto"/>
              <w:right w:val="single" w:sz="4" w:space="0" w:color="auto"/>
            </w:tcBorders>
            <w:vAlign w:val="center"/>
          </w:tcPr>
          <w:p w14:paraId="52A70DD2" w14:textId="77777777" w:rsidR="006A3B36" w:rsidRPr="006844F3" w:rsidRDefault="006A3B36">
            <w:pPr>
              <w:spacing w:line="256" w:lineRule="auto"/>
              <w:jc w:val="center"/>
              <w:rPr>
                <w:b/>
                <w:bCs/>
                <w:iCs/>
                <w:color w:val="auto"/>
                <w:sz w:val="22"/>
              </w:rPr>
            </w:pPr>
            <w:r w:rsidRPr="006844F3">
              <w:rPr>
                <w:b/>
                <w:bCs/>
                <w:iCs/>
                <w:color w:val="auto"/>
                <w:sz w:val="22"/>
              </w:rPr>
              <w:t>2015. godina</w:t>
            </w:r>
          </w:p>
        </w:tc>
        <w:tc>
          <w:tcPr>
            <w:tcW w:w="1045" w:type="dxa"/>
            <w:tcBorders>
              <w:top w:val="single" w:sz="4" w:space="0" w:color="auto"/>
              <w:left w:val="nil"/>
              <w:bottom w:val="single" w:sz="4" w:space="0" w:color="auto"/>
              <w:right w:val="single" w:sz="4" w:space="0" w:color="auto"/>
            </w:tcBorders>
            <w:vAlign w:val="center"/>
          </w:tcPr>
          <w:p w14:paraId="6DCA1A7C" w14:textId="77777777" w:rsidR="006A3B36" w:rsidRPr="006844F3" w:rsidRDefault="006A3B36">
            <w:pPr>
              <w:spacing w:line="256" w:lineRule="auto"/>
              <w:jc w:val="center"/>
              <w:rPr>
                <w:b/>
                <w:bCs/>
                <w:iCs/>
                <w:color w:val="auto"/>
                <w:sz w:val="22"/>
              </w:rPr>
            </w:pPr>
            <w:r w:rsidRPr="006844F3">
              <w:rPr>
                <w:b/>
                <w:bCs/>
                <w:iCs/>
                <w:color w:val="auto"/>
                <w:sz w:val="22"/>
              </w:rPr>
              <w:t>2014. godina</w:t>
            </w:r>
          </w:p>
        </w:tc>
        <w:tc>
          <w:tcPr>
            <w:tcW w:w="1045" w:type="dxa"/>
            <w:tcBorders>
              <w:top w:val="single" w:sz="4" w:space="0" w:color="auto"/>
              <w:left w:val="nil"/>
              <w:bottom w:val="single" w:sz="4" w:space="0" w:color="auto"/>
              <w:right w:val="single" w:sz="4" w:space="0" w:color="auto"/>
            </w:tcBorders>
            <w:vAlign w:val="center"/>
          </w:tcPr>
          <w:p w14:paraId="7D670825" w14:textId="77777777" w:rsidR="006A3B36" w:rsidRPr="006844F3" w:rsidRDefault="006A3B36">
            <w:pPr>
              <w:spacing w:line="256" w:lineRule="auto"/>
              <w:jc w:val="center"/>
              <w:rPr>
                <w:b/>
                <w:bCs/>
                <w:iCs/>
                <w:color w:val="auto"/>
                <w:sz w:val="22"/>
              </w:rPr>
            </w:pPr>
            <w:r w:rsidRPr="006844F3">
              <w:rPr>
                <w:b/>
                <w:bCs/>
                <w:iCs/>
                <w:color w:val="auto"/>
                <w:sz w:val="22"/>
              </w:rPr>
              <w:t>2013. godina</w:t>
            </w:r>
          </w:p>
        </w:tc>
      </w:tr>
      <w:tr w:rsidR="006844F3" w:rsidRPr="006844F3" w14:paraId="3219C94F" w14:textId="77777777" w:rsidTr="00622A31">
        <w:trPr>
          <w:trHeight w:val="541"/>
        </w:trPr>
        <w:tc>
          <w:tcPr>
            <w:tcW w:w="3294" w:type="dxa"/>
            <w:vMerge/>
            <w:tcBorders>
              <w:left w:val="single" w:sz="4" w:space="0" w:color="auto"/>
              <w:bottom w:val="single" w:sz="4" w:space="0" w:color="auto"/>
              <w:right w:val="single" w:sz="4" w:space="0" w:color="auto"/>
            </w:tcBorders>
            <w:vAlign w:val="center"/>
          </w:tcPr>
          <w:p w14:paraId="4C57BE7B" w14:textId="77777777" w:rsidR="006A3B36" w:rsidRPr="006844F3" w:rsidRDefault="006A3B36">
            <w:pPr>
              <w:spacing w:line="256" w:lineRule="auto"/>
              <w:rPr>
                <w:iCs/>
                <w:color w:val="auto"/>
              </w:rPr>
            </w:pPr>
          </w:p>
        </w:tc>
        <w:tc>
          <w:tcPr>
            <w:tcW w:w="1063" w:type="dxa"/>
            <w:tcBorders>
              <w:top w:val="single" w:sz="4" w:space="0" w:color="auto"/>
              <w:left w:val="single" w:sz="4" w:space="0" w:color="auto"/>
              <w:bottom w:val="single" w:sz="4" w:space="0" w:color="auto"/>
              <w:right w:val="single" w:sz="4" w:space="0" w:color="auto"/>
            </w:tcBorders>
            <w:vAlign w:val="center"/>
          </w:tcPr>
          <w:p w14:paraId="302354C2" w14:textId="5A022960" w:rsidR="006A3B36" w:rsidRPr="006844F3" w:rsidRDefault="00622A31" w:rsidP="00622A31">
            <w:pPr>
              <w:spacing w:line="256" w:lineRule="auto"/>
              <w:jc w:val="center"/>
              <w:rPr>
                <w:iCs/>
                <w:color w:val="auto"/>
              </w:rPr>
            </w:pPr>
            <w:r w:rsidRPr="006844F3">
              <w:rPr>
                <w:iCs/>
                <w:color w:val="auto"/>
              </w:rPr>
              <w:t>5.586</w:t>
            </w:r>
          </w:p>
        </w:tc>
        <w:tc>
          <w:tcPr>
            <w:tcW w:w="1045" w:type="dxa"/>
            <w:tcBorders>
              <w:top w:val="nil"/>
              <w:left w:val="nil"/>
              <w:bottom w:val="single" w:sz="4" w:space="0" w:color="auto"/>
              <w:right w:val="single" w:sz="4" w:space="0" w:color="auto"/>
            </w:tcBorders>
            <w:noWrap/>
            <w:vAlign w:val="center"/>
          </w:tcPr>
          <w:p w14:paraId="56776C1E" w14:textId="138D3FC2" w:rsidR="006A3B36" w:rsidRPr="006844F3" w:rsidRDefault="006A3B36" w:rsidP="00622A31">
            <w:pPr>
              <w:spacing w:line="256" w:lineRule="auto"/>
              <w:jc w:val="center"/>
              <w:rPr>
                <w:iCs/>
                <w:color w:val="auto"/>
              </w:rPr>
            </w:pPr>
            <w:r w:rsidRPr="006844F3">
              <w:rPr>
                <w:iCs/>
                <w:color w:val="auto"/>
              </w:rPr>
              <w:t>5.219</w:t>
            </w:r>
          </w:p>
        </w:tc>
        <w:tc>
          <w:tcPr>
            <w:tcW w:w="1045" w:type="dxa"/>
            <w:tcBorders>
              <w:top w:val="nil"/>
              <w:left w:val="nil"/>
              <w:bottom w:val="single" w:sz="4" w:space="0" w:color="auto"/>
              <w:right w:val="single" w:sz="4" w:space="0" w:color="auto"/>
            </w:tcBorders>
            <w:noWrap/>
            <w:vAlign w:val="center"/>
          </w:tcPr>
          <w:p w14:paraId="3E7BAC57" w14:textId="2CD3BBE9" w:rsidR="006A3B36" w:rsidRPr="006844F3" w:rsidRDefault="006A3B36" w:rsidP="00622A31">
            <w:pPr>
              <w:spacing w:line="256" w:lineRule="auto"/>
              <w:jc w:val="center"/>
              <w:rPr>
                <w:iCs/>
                <w:color w:val="auto"/>
              </w:rPr>
            </w:pPr>
            <w:r w:rsidRPr="006844F3">
              <w:rPr>
                <w:iCs/>
                <w:color w:val="auto"/>
              </w:rPr>
              <w:t>4.318</w:t>
            </w:r>
          </w:p>
        </w:tc>
        <w:tc>
          <w:tcPr>
            <w:tcW w:w="1045" w:type="dxa"/>
            <w:tcBorders>
              <w:top w:val="nil"/>
              <w:left w:val="nil"/>
              <w:bottom w:val="single" w:sz="4" w:space="0" w:color="auto"/>
              <w:right w:val="single" w:sz="4" w:space="0" w:color="auto"/>
            </w:tcBorders>
            <w:noWrap/>
            <w:vAlign w:val="center"/>
          </w:tcPr>
          <w:p w14:paraId="298F5F99" w14:textId="51DCA998" w:rsidR="006A3B36" w:rsidRPr="006844F3" w:rsidRDefault="006A3B36" w:rsidP="00622A31">
            <w:pPr>
              <w:spacing w:line="256" w:lineRule="auto"/>
              <w:jc w:val="center"/>
              <w:rPr>
                <w:iCs/>
                <w:color w:val="auto"/>
              </w:rPr>
            </w:pPr>
            <w:r w:rsidRPr="006844F3">
              <w:rPr>
                <w:iCs/>
                <w:color w:val="auto"/>
              </w:rPr>
              <w:t>5.629</w:t>
            </w:r>
          </w:p>
        </w:tc>
        <w:tc>
          <w:tcPr>
            <w:tcW w:w="1045" w:type="dxa"/>
            <w:tcBorders>
              <w:top w:val="nil"/>
              <w:left w:val="nil"/>
              <w:bottom w:val="single" w:sz="4" w:space="0" w:color="auto"/>
              <w:right w:val="single" w:sz="4" w:space="0" w:color="auto"/>
            </w:tcBorders>
            <w:noWrap/>
            <w:vAlign w:val="center"/>
          </w:tcPr>
          <w:p w14:paraId="7C5329D3" w14:textId="77777777" w:rsidR="006A3B36" w:rsidRPr="006844F3" w:rsidRDefault="006A3B36" w:rsidP="00622A31">
            <w:pPr>
              <w:spacing w:line="256" w:lineRule="auto"/>
              <w:jc w:val="center"/>
              <w:rPr>
                <w:iCs/>
                <w:color w:val="auto"/>
              </w:rPr>
            </w:pPr>
            <w:r w:rsidRPr="006844F3">
              <w:rPr>
                <w:iCs/>
                <w:color w:val="auto"/>
              </w:rPr>
              <w:t>0</w:t>
            </w:r>
          </w:p>
        </w:tc>
        <w:tc>
          <w:tcPr>
            <w:tcW w:w="1045" w:type="dxa"/>
            <w:tcBorders>
              <w:top w:val="nil"/>
              <w:left w:val="nil"/>
              <w:bottom w:val="single" w:sz="4" w:space="0" w:color="auto"/>
              <w:right w:val="single" w:sz="4" w:space="0" w:color="auto"/>
            </w:tcBorders>
            <w:noWrap/>
            <w:vAlign w:val="center"/>
          </w:tcPr>
          <w:p w14:paraId="1D787B2A" w14:textId="77777777" w:rsidR="006A3B36" w:rsidRPr="006844F3" w:rsidRDefault="006A3B36" w:rsidP="00622A31">
            <w:pPr>
              <w:spacing w:line="256" w:lineRule="auto"/>
              <w:jc w:val="center"/>
              <w:rPr>
                <w:iCs/>
                <w:color w:val="auto"/>
              </w:rPr>
            </w:pPr>
            <w:r w:rsidRPr="006844F3">
              <w:rPr>
                <w:iCs/>
                <w:color w:val="auto"/>
              </w:rPr>
              <w:t>0</w:t>
            </w:r>
          </w:p>
        </w:tc>
      </w:tr>
    </w:tbl>
    <w:p w14:paraId="224CA761" w14:textId="43F96B2D" w:rsidR="00915422" w:rsidRPr="006844F3" w:rsidRDefault="00915422" w:rsidP="00915422">
      <w:pPr>
        <w:ind w:left="0" w:firstLine="0"/>
        <w:rPr>
          <w:i/>
          <w:color w:val="auto"/>
          <w:sz w:val="20"/>
          <w:szCs w:val="20"/>
          <w:lang w:eastAsia="en-US"/>
        </w:rPr>
      </w:pPr>
      <w:r w:rsidRPr="006844F3">
        <w:rPr>
          <w:b/>
          <w:i/>
          <w:color w:val="auto"/>
          <w:sz w:val="20"/>
          <w:szCs w:val="20"/>
          <w:lang w:eastAsia="en-US"/>
        </w:rPr>
        <w:t>Izvor:</w:t>
      </w:r>
      <w:r w:rsidRPr="006844F3">
        <w:rPr>
          <w:i/>
          <w:color w:val="auto"/>
          <w:sz w:val="20"/>
          <w:szCs w:val="20"/>
          <w:lang w:eastAsia="en-US"/>
        </w:rPr>
        <w:t xml:space="preserve"> Ministarstvo sigurnosti BiH-</w:t>
      </w:r>
      <w:r w:rsidRPr="006844F3">
        <w:rPr>
          <w:i/>
          <w:color w:val="auto"/>
          <w:sz w:val="20"/>
          <w:szCs w:val="20"/>
        </w:rPr>
        <w:t xml:space="preserve"> Služba za poslove sa strancima</w:t>
      </w:r>
    </w:p>
    <w:p w14:paraId="71BDF93F" w14:textId="789FCC74" w:rsidR="00765CE7" w:rsidRDefault="00B80ACE">
      <w:pPr>
        <w:pStyle w:val="Heading2"/>
        <w:numPr>
          <w:ilvl w:val="1"/>
          <w:numId w:val="3"/>
        </w:numPr>
        <w:rPr>
          <w:rFonts w:ascii="Times New Roman" w:eastAsia="SimSun" w:hAnsi="Times New Roman" w:cs="Times New Roman"/>
          <w:sz w:val="24"/>
          <w:szCs w:val="24"/>
        </w:rPr>
      </w:pPr>
      <w:r>
        <w:rPr>
          <w:rFonts w:ascii="Times New Roman" w:eastAsia="SimSun" w:hAnsi="Times New Roman" w:cs="Times New Roman"/>
          <w:sz w:val="24"/>
          <w:szCs w:val="24"/>
        </w:rPr>
        <w:t xml:space="preserve"> </w:t>
      </w:r>
      <w:bookmarkStart w:id="13" w:name="_Toc28010134"/>
      <w:r>
        <w:rPr>
          <w:rFonts w:ascii="Times New Roman" w:eastAsia="SimSun" w:hAnsi="Times New Roman" w:cs="Times New Roman"/>
          <w:sz w:val="24"/>
          <w:szCs w:val="24"/>
        </w:rPr>
        <w:t xml:space="preserve">Pregled izdatih radnih dozvola </w:t>
      </w:r>
      <w:r w:rsidR="00317ED8">
        <w:rPr>
          <w:rFonts w:ascii="Times New Roman" w:eastAsia="SimSun" w:hAnsi="Times New Roman" w:cs="Times New Roman"/>
          <w:sz w:val="24"/>
          <w:szCs w:val="24"/>
        </w:rPr>
        <w:t xml:space="preserve">strancima </w:t>
      </w:r>
      <w:r>
        <w:rPr>
          <w:rFonts w:ascii="Times New Roman" w:eastAsia="SimSun" w:hAnsi="Times New Roman" w:cs="Times New Roman"/>
          <w:sz w:val="24"/>
          <w:szCs w:val="24"/>
        </w:rPr>
        <w:t>u BiH u 201</w:t>
      </w:r>
      <w:r w:rsidR="00B228BD">
        <w:rPr>
          <w:rFonts w:ascii="Times New Roman" w:eastAsia="SimSun" w:hAnsi="Times New Roman" w:cs="Times New Roman"/>
          <w:sz w:val="24"/>
          <w:szCs w:val="24"/>
        </w:rPr>
        <w:t>8</w:t>
      </w:r>
      <w:r>
        <w:rPr>
          <w:rFonts w:ascii="Times New Roman" w:eastAsia="SimSun" w:hAnsi="Times New Roman" w:cs="Times New Roman"/>
          <w:sz w:val="24"/>
          <w:szCs w:val="24"/>
        </w:rPr>
        <w:t>. godini</w:t>
      </w:r>
      <w:bookmarkEnd w:id="13"/>
    </w:p>
    <w:p w14:paraId="14EA2B1D" w14:textId="77777777" w:rsidR="00716753" w:rsidRPr="00716753" w:rsidRDefault="00716753" w:rsidP="00716753">
      <w:pPr>
        <w:rPr>
          <w:rFonts w:eastAsia="SimSun"/>
          <w:lang w:val="hr-HR" w:eastAsia="hr-HR"/>
        </w:rPr>
      </w:pPr>
    </w:p>
    <w:p w14:paraId="29CD2E67" w14:textId="2309663D" w:rsidR="00B228BD" w:rsidRPr="00B228BD" w:rsidRDefault="00CB414E" w:rsidP="00B228BD">
      <w:pPr>
        <w:rPr>
          <w:color w:val="auto"/>
          <w:szCs w:val="24"/>
          <w:lang w:val="sr-Latn-BA"/>
        </w:rPr>
      </w:pPr>
      <w:r>
        <w:rPr>
          <w:color w:val="auto"/>
        </w:rPr>
        <w:t xml:space="preserve">Prema podacima Federalnog zavoda za zapošljavanje, </w:t>
      </w:r>
      <w:r w:rsidR="00E06C7A">
        <w:rPr>
          <w:color w:val="auto"/>
        </w:rPr>
        <w:t xml:space="preserve">JU </w:t>
      </w:r>
      <w:r>
        <w:rPr>
          <w:color w:val="auto"/>
        </w:rPr>
        <w:t>Zavoda za zapošljavanje Republike Srpske i Zavoda za zapošljavanje Brčko Distrikta BiH,</w:t>
      </w:r>
      <w:r>
        <w:t xml:space="preserve"> u Bosni i Hercegovini u 2018. godini, </w:t>
      </w:r>
      <w:r w:rsidR="00B228BD">
        <w:t>ukupno je izdato 2.822 važeće radne dozvole</w:t>
      </w:r>
      <w:r w:rsidR="006A59C3">
        <w:t>, o</w:t>
      </w:r>
      <w:r w:rsidR="00B228BD">
        <w:t xml:space="preserve">d </w:t>
      </w:r>
      <w:r w:rsidR="006A59C3">
        <w:t>toga</w:t>
      </w:r>
      <w:r w:rsidR="00B228BD">
        <w:t xml:space="preserve"> u</w:t>
      </w:r>
      <w:r w:rsidR="00B228BD" w:rsidRPr="00B228BD">
        <w:rPr>
          <w:color w:val="FF0000"/>
        </w:rPr>
        <w:t xml:space="preserve"> </w:t>
      </w:r>
      <w:r w:rsidR="00B228BD">
        <w:t xml:space="preserve">Federaciji Bosne i Hercegovine ukupno je izdato 1.806 radnih dozvola (64,00%), u Republici Srpskoj 881 radna dozvola (31,22%) a u Brčko </w:t>
      </w:r>
      <w:r w:rsidR="006143F0">
        <w:t xml:space="preserve">Distriktu </w:t>
      </w:r>
      <w:r w:rsidR="00B228BD">
        <w:t>BiH je iz</w:t>
      </w:r>
      <w:r w:rsidR="006A59C3">
        <w:t>dato 135 radnih dozvola (4,78%)</w:t>
      </w:r>
      <w:r w:rsidR="00B228BD">
        <w:t>.</w:t>
      </w:r>
      <w:r w:rsidR="00B228BD" w:rsidRPr="00B228BD">
        <w:rPr>
          <w:lang w:val="sr-Latn-BA"/>
        </w:rPr>
        <w:t xml:space="preserve"> Ovakav odnos u izdatim radnim doz</w:t>
      </w:r>
      <w:r w:rsidR="006143F0">
        <w:rPr>
          <w:lang w:val="sr-Latn-BA"/>
        </w:rPr>
        <w:t>volama između entiteta i Brčko D</w:t>
      </w:r>
      <w:r w:rsidR="00B228BD" w:rsidRPr="00B228BD">
        <w:rPr>
          <w:lang w:val="sr-Latn-BA"/>
        </w:rPr>
        <w:t>itrikta BiH prisutan je i u ranijim godinama.</w:t>
      </w:r>
    </w:p>
    <w:p w14:paraId="7F80099E" w14:textId="77777777" w:rsidR="00765CE7" w:rsidRPr="00A10114" w:rsidRDefault="00765CE7">
      <w:pPr>
        <w:rPr>
          <w:b/>
          <w:i/>
          <w:color w:val="auto"/>
        </w:rPr>
      </w:pPr>
    </w:p>
    <w:p w14:paraId="6DFDF871" w14:textId="6BCA8B48" w:rsidR="00765CE7" w:rsidRPr="00A10114" w:rsidRDefault="00B80ACE" w:rsidP="00221B5E">
      <w:pPr>
        <w:ind w:left="0" w:firstLine="0"/>
        <w:rPr>
          <w:b/>
          <w:i/>
          <w:color w:val="auto"/>
        </w:rPr>
      </w:pPr>
      <w:r w:rsidRPr="00D3762B">
        <w:rPr>
          <w:b/>
          <w:i/>
          <w:color w:val="auto"/>
        </w:rPr>
        <w:t xml:space="preserve">Tabela </w:t>
      </w:r>
      <w:r w:rsidR="00D3762B" w:rsidRPr="00D3762B">
        <w:rPr>
          <w:b/>
          <w:i/>
          <w:color w:val="auto"/>
        </w:rPr>
        <w:t>4</w:t>
      </w:r>
      <w:r w:rsidRPr="00D3762B">
        <w:rPr>
          <w:b/>
          <w:i/>
          <w:color w:val="auto"/>
        </w:rPr>
        <w:t>.</w:t>
      </w:r>
      <w:r w:rsidR="00CD1589" w:rsidRPr="00D3762B">
        <w:rPr>
          <w:b/>
          <w:i/>
          <w:color w:val="auto"/>
        </w:rPr>
        <w:t xml:space="preserve"> </w:t>
      </w:r>
      <w:r w:rsidRPr="00A10114">
        <w:rPr>
          <w:b/>
          <w:i/>
          <w:color w:val="auto"/>
        </w:rPr>
        <w:t xml:space="preserve">Izdate radne dozvole strancima u BiH prema entitetima i Brčko </w:t>
      </w:r>
      <w:r w:rsidR="006143F0" w:rsidRPr="00A10114">
        <w:rPr>
          <w:b/>
          <w:i/>
          <w:color w:val="auto"/>
        </w:rPr>
        <w:t xml:space="preserve">Distriktu </w:t>
      </w:r>
      <w:r w:rsidRPr="00A10114">
        <w:rPr>
          <w:b/>
          <w:i/>
          <w:color w:val="auto"/>
        </w:rPr>
        <w:t>BiH u periodu 2013.-201</w:t>
      </w:r>
      <w:r w:rsidR="00B228BD" w:rsidRPr="00A10114">
        <w:rPr>
          <w:b/>
          <w:i/>
          <w:color w:val="auto"/>
        </w:rPr>
        <w:t>8</w:t>
      </w:r>
      <w:r w:rsidRPr="00A10114">
        <w:rPr>
          <w:b/>
          <w:i/>
          <w:color w:val="auto"/>
        </w:rPr>
        <w:t xml:space="preserve">. godina </w: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383"/>
        <w:gridCol w:w="1681"/>
        <w:gridCol w:w="1681"/>
        <w:gridCol w:w="1634"/>
      </w:tblGrid>
      <w:tr w:rsidR="00765CE7" w14:paraId="501B5F7A" w14:textId="77777777" w:rsidTr="00B228BD">
        <w:trPr>
          <w:trHeight w:val="357"/>
          <w:jc w:val="center"/>
        </w:trPr>
        <w:tc>
          <w:tcPr>
            <w:tcW w:w="2411" w:type="dxa"/>
            <w:tcBorders>
              <w:top w:val="single" w:sz="12" w:space="0" w:color="auto"/>
              <w:left w:val="single" w:sz="2" w:space="0" w:color="auto"/>
              <w:bottom w:val="single" w:sz="12" w:space="0" w:color="auto"/>
              <w:right w:val="single" w:sz="2" w:space="0" w:color="auto"/>
            </w:tcBorders>
            <w:shd w:val="clear" w:color="auto" w:fill="D9D9D9"/>
            <w:vAlign w:val="center"/>
          </w:tcPr>
          <w:p w14:paraId="4331059B" w14:textId="77777777" w:rsidR="00765CE7" w:rsidRPr="006D465B" w:rsidRDefault="00B80ACE">
            <w:pPr>
              <w:jc w:val="center"/>
              <w:rPr>
                <w:b/>
                <w:color w:val="auto"/>
                <w:sz w:val="18"/>
                <w:szCs w:val="18"/>
                <w:lang w:val="sr-Latn-BA"/>
              </w:rPr>
            </w:pPr>
            <w:r w:rsidRPr="006D465B">
              <w:rPr>
                <w:b/>
                <w:color w:val="auto"/>
                <w:sz w:val="18"/>
                <w:szCs w:val="18"/>
                <w:lang w:val="sr-Latn-BA"/>
              </w:rPr>
              <w:t>GODINE</w:t>
            </w:r>
          </w:p>
        </w:tc>
        <w:tc>
          <w:tcPr>
            <w:tcW w:w="2383" w:type="dxa"/>
            <w:tcBorders>
              <w:top w:val="single" w:sz="12" w:space="0" w:color="auto"/>
              <w:left w:val="single" w:sz="2" w:space="0" w:color="auto"/>
              <w:bottom w:val="single" w:sz="12" w:space="0" w:color="auto"/>
              <w:right w:val="single" w:sz="2" w:space="0" w:color="auto"/>
            </w:tcBorders>
            <w:shd w:val="clear" w:color="auto" w:fill="D9D9D9"/>
            <w:vAlign w:val="center"/>
          </w:tcPr>
          <w:p w14:paraId="4AB0DD34" w14:textId="77777777" w:rsidR="00765CE7" w:rsidRPr="006D465B" w:rsidRDefault="00B80ACE">
            <w:pPr>
              <w:jc w:val="center"/>
              <w:rPr>
                <w:b/>
                <w:color w:val="auto"/>
                <w:sz w:val="18"/>
                <w:szCs w:val="18"/>
                <w:lang w:val="sr-Latn-BA"/>
              </w:rPr>
            </w:pPr>
            <w:r w:rsidRPr="006D465B">
              <w:rPr>
                <w:b/>
                <w:color w:val="auto"/>
                <w:sz w:val="18"/>
                <w:szCs w:val="18"/>
                <w:lang w:val="sr-Latn-BA"/>
              </w:rPr>
              <w:t>BOSNA I HERCEGOVINA</w:t>
            </w:r>
          </w:p>
        </w:tc>
        <w:tc>
          <w:tcPr>
            <w:tcW w:w="1681" w:type="dxa"/>
            <w:tcBorders>
              <w:top w:val="single" w:sz="12" w:space="0" w:color="auto"/>
              <w:left w:val="single" w:sz="2" w:space="0" w:color="auto"/>
              <w:bottom w:val="single" w:sz="12" w:space="0" w:color="auto"/>
              <w:right w:val="single" w:sz="2" w:space="0" w:color="auto"/>
            </w:tcBorders>
            <w:shd w:val="clear" w:color="auto" w:fill="D9D9D9"/>
            <w:vAlign w:val="center"/>
          </w:tcPr>
          <w:p w14:paraId="7E23022E" w14:textId="77777777" w:rsidR="00765CE7" w:rsidRPr="006D465B" w:rsidRDefault="00B80ACE">
            <w:pPr>
              <w:jc w:val="center"/>
              <w:rPr>
                <w:color w:val="auto"/>
                <w:sz w:val="18"/>
                <w:szCs w:val="18"/>
                <w:lang w:val="sr-Latn-BA"/>
              </w:rPr>
            </w:pPr>
            <w:r w:rsidRPr="006D465B">
              <w:rPr>
                <w:color w:val="auto"/>
                <w:sz w:val="18"/>
                <w:szCs w:val="18"/>
                <w:lang w:val="sr-Latn-BA"/>
              </w:rPr>
              <w:t>FEDERACIJA BIH</w:t>
            </w:r>
          </w:p>
        </w:tc>
        <w:tc>
          <w:tcPr>
            <w:tcW w:w="1681" w:type="dxa"/>
            <w:tcBorders>
              <w:top w:val="single" w:sz="12" w:space="0" w:color="auto"/>
              <w:left w:val="single" w:sz="2" w:space="0" w:color="auto"/>
              <w:bottom w:val="single" w:sz="12" w:space="0" w:color="auto"/>
              <w:right w:val="single" w:sz="2" w:space="0" w:color="auto"/>
            </w:tcBorders>
            <w:shd w:val="clear" w:color="auto" w:fill="D9D9D9"/>
            <w:vAlign w:val="center"/>
          </w:tcPr>
          <w:p w14:paraId="2017AD4D" w14:textId="77777777" w:rsidR="00765CE7" w:rsidRPr="006D465B" w:rsidRDefault="00B80ACE">
            <w:pPr>
              <w:jc w:val="center"/>
              <w:rPr>
                <w:color w:val="auto"/>
                <w:sz w:val="18"/>
                <w:szCs w:val="18"/>
                <w:lang w:val="sr-Latn-BA"/>
              </w:rPr>
            </w:pPr>
            <w:r w:rsidRPr="006D465B">
              <w:rPr>
                <w:color w:val="auto"/>
                <w:sz w:val="18"/>
                <w:szCs w:val="18"/>
                <w:lang w:val="sr-Latn-BA"/>
              </w:rPr>
              <w:t>REPUBLIKA SRPSKA</w:t>
            </w:r>
          </w:p>
        </w:tc>
        <w:tc>
          <w:tcPr>
            <w:tcW w:w="1634" w:type="dxa"/>
            <w:tcBorders>
              <w:top w:val="single" w:sz="12" w:space="0" w:color="auto"/>
              <w:left w:val="single" w:sz="2" w:space="0" w:color="auto"/>
              <w:bottom w:val="single" w:sz="12" w:space="0" w:color="auto"/>
              <w:right w:val="single" w:sz="2" w:space="0" w:color="auto"/>
            </w:tcBorders>
            <w:shd w:val="clear" w:color="auto" w:fill="D9D9D9"/>
            <w:vAlign w:val="center"/>
          </w:tcPr>
          <w:p w14:paraId="47602FED" w14:textId="1BD846AD" w:rsidR="00765CE7" w:rsidRPr="006D465B" w:rsidRDefault="00B80ACE">
            <w:pPr>
              <w:jc w:val="center"/>
              <w:rPr>
                <w:color w:val="auto"/>
                <w:sz w:val="18"/>
                <w:szCs w:val="18"/>
                <w:lang w:val="sr-Latn-BA"/>
              </w:rPr>
            </w:pPr>
            <w:r w:rsidRPr="006D465B">
              <w:rPr>
                <w:color w:val="auto"/>
                <w:sz w:val="18"/>
                <w:szCs w:val="18"/>
                <w:lang w:val="sr-Latn-BA"/>
              </w:rPr>
              <w:t xml:space="preserve">BRČKO </w:t>
            </w:r>
            <w:r w:rsidR="006143F0">
              <w:rPr>
                <w:color w:val="auto"/>
                <w:sz w:val="18"/>
                <w:szCs w:val="18"/>
                <w:lang w:val="sr-Latn-BA"/>
              </w:rPr>
              <w:t>DISTRIKT</w:t>
            </w:r>
            <w:r w:rsidRPr="006D465B">
              <w:rPr>
                <w:color w:val="auto"/>
                <w:sz w:val="18"/>
                <w:szCs w:val="18"/>
                <w:lang w:val="sr-Latn-BA"/>
              </w:rPr>
              <w:t>BIH</w:t>
            </w:r>
          </w:p>
        </w:tc>
      </w:tr>
      <w:tr w:rsidR="00765CE7" w14:paraId="31112BB2" w14:textId="77777777" w:rsidTr="004400F0">
        <w:trPr>
          <w:trHeight w:hRule="exact" w:val="284"/>
          <w:jc w:val="center"/>
        </w:trPr>
        <w:tc>
          <w:tcPr>
            <w:tcW w:w="2411" w:type="dxa"/>
            <w:tcBorders>
              <w:top w:val="single" w:sz="12" w:space="0" w:color="auto"/>
            </w:tcBorders>
            <w:shd w:val="clear" w:color="auto" w:fill="auto"/>
            <w:vAlign w:val="center"/>
          </w:tcPr>
          <w:p w14:paraId="452AB6FE" w14:textId="77777777" w:rsidR="00765CE7" w:rsidRDefault="00B80ACE">
            <w:pPr>
              <w:jc w:val="center"/>
              <w:rPr>
                <w:color w:val="auto"/>
                <w:sz w:val="20"/>
                <w:szCs w:val="20"/>
                <w:lang w:val="sr-Latn-BA"/>
              </w:rPr>
            </w:pPr>
            <w:r>
              <w:rPr>
                <w:color w:val="auto"/>
                <w:sz w:val="20"/>
                <w:szCs w:val="20"/>
                <w:lang w:val="sr-Latn-BA"/>
              </w:rPr>
              <w:t>2013.</w:t>
            </w:r>
          </w:p>
        </w:tc>
        <w:tc>
          <w:tcPr>
            <w:tcW w:w="2383" w:type="dxa"/>
            <w:tcBorders>
              <w:top w:val="single" w:sz="12" w:space="0" w:color="auto"/>
            </w:tcBorders>
            <w:shd w:val="clear" w:color="auto" w:fill="auto"/>
            <w:vAlign w:val="center"/>
          </w:tcPr>
          <w:p w14:paraId="12BB08CA" w14:textId="77777777" w:rsidR="00765CE7" w:rsidRDefault="00B80ACE">
            <w:pPr>
              <w:jc w:val="center"/>
              <w:rPr>
                <w:color w:val="auto"/>
                <w:sz w:val="20"/>
                <w:szCs w:val="20"/>
              </w:rPr>
            </w:pPr>
            <w:r>
              <w:rPr>
                <w:color w:val="auto"/>
                <w:sz w:val="20"/>
                <w:szCs w:val="20"/>
              </w:rPr>
              <w:t>2.563</w:t>
            </w:r>
          </w:p>
        </w:tc>
        <w:tc>
          <w:tcPr>
            <w:tcW w:w="1681" w:type="dxa"/>
            <w:tcBorders>
              <w:top w:val="single" w:sz="12" w:space="0" w:color="auto"/>
            </w:tcBorders>
            <w:shd w:val="clear" w:color="auto" w:fill="auto"/>
            <w:vAlign w:val="center"/>
          </w:tcPr>
          <w:p w14:paraId="2C4CF10B" w14:textId="77777777" w:rsidR="00765CE7" w:rsidRDefault="00B80ACE">
            <w:pPr>
              <w:jc w:val="center"/>
              <w:rPr>
                <w:color w:val="auto"/>
                <w:sz w:val="20"/>
                <w:szCs w:val="20"/>
              </w:rPr>
            </w:pPr>
            <w:r>
              <w:rPr>
                <w:color w:val="auto"/>
                <w:sz w:val="20"/>
                <w:szCs w:val="20"/>
              </w:rPr>
              <w:t>1.326</w:t>
            </w:r>
          </w:p>
        </w:tc>
        <w:tc>
          <w:tcPr>
            <w:tcW w:w="1681" w:type="dxa"/>
            <w:tcBorders>
              <w:top w:val="single" w:sz="12" w:space="0" w:color="auto"/>
            </w:tcBorders>
            <w:shd w:val="clear" w:color="auto" w:fill="auto"/>
            <w:vAlign w:val="center"/>
          </w:tcPr>
          <w:p w14:paraId="1EC80DA9" w14:textId="77777777" w:rsidR="00765CE7" w:rsidRDefault="00B80ACE">
            <w:pPr>
              <w:jc w:val="center"/>
              <w:rPr>
                <w:color w:val="auto"/>
                <w:sz w:val="20"/>
                <w:szCs w:val="20"/>
              </w:rPr>
            </w:pPr>
            <w:r>
              <w:rPr>
                <w:color w:val="auto"/>
                <w:sz w:val="20"/>
                <w:szCs w:val="20"/>
              </w:rPr>
              <w:t>1.024</w:t>
            </w:r>
          </w:p>
        </w:tc>
        <w:tc>
          <w:tcPr>
            <w:tcW w:w="1634" w:type="dxa"/>
            <w:tcBorders>
              <w:top w:val="single" w:sz="12" w:space="0" w:color="auto"/>
            </w:tcBorders>
            <w:shd w:val="clear" w:color="auto" w:fill="auto"/>
            <w:vAlign w:val="center"/>
          </w:tcPr>
          <w:p w14:paraId="7BC0DDFD" w14:textId="77777777" w:rsidR="00765CE7" w:rsidRDefault="00B80ACE">
            <w:pPr>
              <w:jc w:val="center"/>
              <w:rPr>
                <w:color w:val="auto"/>
                <w:sz w:val="20"/>
                <w:szCs w:val="20"/>
              </w:rPr>
            </w:pPr>
            <w:r>
              <w:rPr>
                <w:color w:val="auto"/>
                <w:sz w:val="20"/>
                <w:szCs w:val="20"/>
              </w:rPr>
              <w:t>213</w:t>
            </w:r>
          </w:p>
        </w:tc>
      </w:tr>
      <w:tr w:rsidR="00765CE7" w14:paraId="07B1A6F0" w14:textId="77777777" w:rsidTr="004400F0">
        <w:trPr>
          <w:trHeight w:hRule="exact" w:val="284"/>
          <w:jc w:val="center"/>
        </w:trPr>
        <w:tc>
          <w:tcPr>
            <w:tcW w:w="2411" w:type="dxa"/>
            <w:shd w:val="clear" w:color="auto" w:fill="auto"/>
            <w:vAlign w:val="center"/>
          </w:tcPr>
          <w:p w14:paraId="7AC61E02" w14:textId="77777777" w:rsidR="00765CE7" w:rsidRDefault="00B80ACE">
            <w:pPr>
              <w:jc w:val="center"/>
              <w:rPr>
                <w:color w:val="auto"/>
                <w:sz w:val="20"/>
                <w:szCs w:val="20"/>
                <w:lang w:val="sr-Latn-BA"/>
              </w:rPr>
            </w:pPr>
            <w:r>
              <w:rPr>
                <w:color w:val="auto"/>
                <w:sz w:val="20"/>
                <w:szCs w:val="20"/>
                <w:lang w:val="sr-Latn-BA"/>
              </w:rPr>
              <w:t>2014.</w:t>
            </w:r>
          </w:p>
        </w:tc>
        <w:tc>
          <w:tcPr>
            <w:tcW w:w="2383" w:type="dxa"/>
            <w:shd w:val="clear" w:color="auto" w:fill="auto"/>
            <w:vAlign w:val="center"/>
          </w:tcPr>
          <w:p w14:paraId="1D7A2478" w14:textId="77777777" w:rsidR="00765CE7" w:rsidRDefault="00B80ACE">
            <w:pPr>
              <w:jc w:val="center"/>
              <w:rPr>
                <w:color w:val="auto"/>
                <w:sz w:val="20"/>
                <w:szCs w:val="20"/>
              </w:rPr>
            </w:pPr>
            <w:r>
              <w:rPr>
                <w:color w:val="auto"/>
                <w:sz w:val="20"/>
                <w:szCs w:val="20"/>
              </w:rPr>
              <w:t>2.197</w:t>
            </w:r>
          </w:p>
        </w:tc>
        <w:tc>
          <w:tcPr>
            <w:tcW w:w="1681" w:type="dxa"/>
            <w:shd w:val="clear" w:color="auto" w:fill="auto"/>
            <w:vAlign w:val="center"/>
          </w:tcPr>
          <w:p w14:paraId="71D5DF3D" w14:textId="77777777" w:rsidR="00765CE7" w:rsidRDefault="00B80ACE">
            <w:pPr>
              <w:jc w:val="center"/>
              <w:rPr>
                <w:color w:val="auto"/>
                <w:sz w:val="20"/>
                <w:szCs w:val="20"/>
              </w:rPr>
            </w:pPr>
            <w:r>
              <w:rPr>
                <w:color w:val="auto"/>
                <w:sz w:val="20"/>
                <w:szCs w:val="20"/>
              </w:rPr>
              <w:t>1.370</w:t>
            </w:r>
          </w:p>
        </w:tc>
        <w:tc>
          <w:tcPr>
            <w:tcW w:w="1681" w:type="dxa"/>
            <w:shd w:val="clear" w:color="auto" w:fill="auto"/>
            <w:vAlign w:val="center"/>
          </w:tcPr>
          <w:p w14:paraId="34E22A96" w14:textId="77777777" w:rsidR="00765CE7" w:rsidRDefault="00B80ACE">
            <w:pPr>
              <w:jc w:val="center"/>
              <w:rPr>
                <w:color w:val="auto"/>
                <w:sz w:val="20"/>
                <w:szCs w:val="20"/>
              </w:rPr>
            </w:pPr>
            <w:r>
              <w:rPr>
                <w:color w:val="auto"/>
                <w:sz w:val="20"/>
                <w:szCs w:val="20"/>
              </w:rPr>
              <w:t>634</w:t>
            </w:r>
          </w:p>
        </w:tc>
        <w:tc>
          <w:tcPr>
            <w:tcW w:w="1634" w:type="dxa"/>
            <w:shd w:val="clear" w:color="auto" w:fill="auto"/>
            <w:vAlign w:val="center"/>
          </w:tcPr>
          <w:p w14:paraId="6388870B" w14:textId="77777777" w:rsidR="00765CE7" w:rsidRDefault="00B80ACE">
            <w:pPr>
              <w:jc w:val="center"/>
              <w:rPr>
                <w:color w:val="auto"/>
                <w:sz w:val="20"/>
                <w:szCs w:val="20"/>
              </w:rPr>
            </w:pPr>
            <w:r>
              <w:rPr>
                <w:color w:val="auto"/>
                <w:sz w:val="20"/>
                <w:szCs w:val="20"/>
              </w:rPr>
              <w:t>193</w:t>
            </w:r>
          </w:p>
        </w:tc>
      </w:tr>
      <w:tr w:rsidR="00765CE7" w14:paraId="2190B0CF" w14:textId="77777777" w:rsidTr="004400F0">
        <w:trPr>
          <w:trHeight w:hRule="exact" w:val="284"/>
          <w:jc w:val="center"/>
        </w:trPr>
        <w:tc>
          <w:tcPr>
            <w:tcW w:w="2411" w:type="dxa"/>
            <w:shd w:val="clear" w:color="auto" w:fill="auto"/>
            <w:vAlign w:val="center"/>
          </w:tcPr>
          <w:p w14:paraId="455DF4EB" w14:textId="77777777" w:rsidR="00765CE7" w:rsidRDefault="00B80ACE">
            <w:pPr>
              <w:jc w:val="center"/>
              <w:rPr>
                <w:color w:val="auto"/>
                <w:sz w:val="20"/>
                <w:szCs w:val="20"/>
                <w:lang w:val="sr-Latn-BA"/>
              </w:rPr>
            </w:pPr>
            <w:r>
              <w:rPr>
                <w:color w:val="auto"/>
                <w:sz w:val="20"/>
                <w:szCs w:val="20"/>
                <w:lang w:val="sr-Latn-BA"/>
              </w:rPr>
              <w:t>2015.</w:t>
            </w:r>
          </w:p>
        </w:tc>
        <w:tc>
          <w:tcPr>
            <w:tcW w:w="2383" w:type="dxa"/>
            <w:shd w:val="clear" w:color="auto" w:fill="auto"/>
            <w:vAlign w:val="center"/>
          </w:tcPr>
          <w:p w14:paraId="4089A9E5" w14:textId="77777777" w:rsidR="00765CE7" w:rsidRDefault="00B80ACE">
            <w:pPr>
              <w:jc w:val="center"/>
              <w:rPr>
                <w:color w:val="auto"/>
                <w:sz w:val="20"/>
                <w:szCs w:val="20"/>
              </w:rPr>
            </w:pPr>
            <w:r>
              <w:rPr>
                <w:color w:val="auto"/>
                <w:sz w:val="20"/>
                <w:szCs w:val="20"/>
              </w:rPr>
              <w:t>2.465</w:t>
            </w:r>
          </w:p>
        </w:tc>
        <w:tc>
          <w:tcPr>
            <w:tcW w:w="1681" w:type="dxa"/>
            <w:shd w:val="clear" w:color="auto" w:fill="auto"/>
            <w:vAlign w:val="center"/>
          </w:tcPr>
          <w:p w14:paraId="7C479DD0" w14:textId="77777777" w:rsidR="00765CE7" w:rsidRDefault="00B80ACE">
            <w:pPr>
              <w:jc w:val="center"/>
              <w:rPr>
                <w:color w:val="auto"/>
                <w:sz w:val="20"/>
                <w:szCs w:val="20"/>
              </w:rPr>
            </w:pPr>
            <w:r>
              <w:rPr>
                <w:color w:val="auto"/>
                <w:sz w:val="20"/>
                <w:szCs w:val="20"/>
              </w:rPr>
              <w:t>1.497</w:t>
            </w:r>
          </w:p>
        </w:tc>
        <w:tc>
          <w:tcPr>
            <w:tcW w:w="1681" w:type="dxa"/>
            <w:shd w:val="clear" w:color="auto" w:fill="auto"/>
            <w:vAlign w:val="center"/>
          </w:tcPr>
          <w:p w14:paraId="627E3CC8" w14:textId="77777777" w:rsidR="00765CE7" w:rsidRDefault="00B80ACE">
            <w:pPr>
              <w:jc w:val="center"/>
              <w:rPr>
                <w:color w:val="auto"/>
                <w:sz w:val="20"/>
                <w:szCs w:val="20"/>
              </w:rPr>
            </w:pPr>
            <w:r>
              <w:rPr>
                <w:color w:val="auto"/>
                <w:sz w:val="20"/>
                <w:szCs w:val="20"/>
              </w:rPr>
              <w:t>818</w:t>
            </w:r>
          </w:p>
        </w:tc>
        <w:tc>
          <w:tcPr>
            <w:tcW w:w="1634" w:type="dxa"/>
            <w:shd w:val="clear" w:color="auto" w:fill="auto"/>
            <w:vAlign w:val="center"/>
          </w:tcPr>
          <w:p w14:paraId="1FEEA730" w14:textId="77777777" w:rsidR="00765CE7" w:rsidRDefault="00B80ACE">
            <w:pPr>
              <w:jc w:val="center"/>
              <w:rPr>
                <w:color w:val="auto"/>
                <w:sz w:val="20"/>
                <w:szCs w:val="20"/>
              </w:rPr>
            </w:pPr>
            <w:r>
              <w:rPr>
                <w:color w:val="auto"/>
                <w:sz w:val="20"/>
                <w:szCs w:val="20"/>
              </w:rPr>
              <w:t>150</w:t>
            </w:r>
          </w:p>
        </w:tc>
      </w:tr>
      <w:tr w:rsidR="00765CE7" w14:paraId="234D23F2" w14:textId="77777777" w:rsidTr="004400F0">
        <w:trPr>
          <w:trHeight w:hRule="exact" w:val="284"/>
          <w:jc w:val="center"/>
        </w:trPr>
        <w:tc>
          <w:tcPr>
            <w:tcW w:w="2411" w:type="dxa"/>
            <w:shd w:val="clear" w:color="auto" w:fill="auto"/>
            <w:vAlign w:val="center"/>
          </w:tcPr>
          <w:p w14:paraId="46DBBCE8" w14:textId="77777777" w:rsidR="00765CE7" w:rsidRDefault="00B80ACE">
            <w:pPr>
              <w:jc w:val="center"/>
              <w:rPr>
                <w:color w:val="auto"/>
                <w:sz w:val="20"/>
                <w:szCs w:val="20"/>
                <w:lang w:val="sr-Latn-BA"/>
              </w:rPr>
            </w:pPr>
            <w:r>
              <w:rPr>
                <w:color w:val="auto"/>
                <w:sz w:val="20"/>
                <w:szCs w:val="20"/>
                <w:lang w:val="sr-Latn-BA"/>
              </w:rPr>
              <w:t>2016.</w:t>
            </w:r>
          </w:p>
        </w:tc>
        <w:tc>
          <w:tcPr>
            <w:tcW w:w="2383" w:type="dxa"/>
            <w:shd w:val="clear" w:color="auto" w:fill="auto"/>
            <w:vAlign w:val="center"/>
          </w:tcPr>
          <w:p w14:paraId="76EAE399" w14:textId="77777777" w:rsidR="00765CE7" w:rsidRDefault="00B80ACE">
            <w:pPr>
              <w:jc w:val="center"/>
              <w:rPr>
                <w:color w:val="auto"/>
                <w:sz w:val="20"/>
                <w:szCs w:val="20"/>
              </w:rPr>
            </w:pPr>
            <w:r>
              <w:rPr>
                <w:color w:val="auto"/>
                <w:sz w:val="20"/>
                <w:szCs w:val="20"/>
              </w:rPr>
              <w:t>2.628</w:t>
            </w:r>
          </w:p>
        </w:tc>
        <w:tc>
          <w:tcPr>
            <w:tcW w:w="1681" w:type="dxa"/>
            <w:shd w:val="clear" w:color="auto" w:fill="auto"/>
            <w:vAlign w:val="center"/>
          </w:tcPr>
          <w:p w14:paraId="2C2A6430" w14:textId="77777777" w:rsidR="00765CE7" w:rsidRDefault="00B80ACE">
            <w:pPr>
              <w:jc w:val="center"/>
              <w:rPr>
                <w:color w:val="auto"/>
                <w:sz w:val="20"/>
                <w:szCs w:val="20"/>
              </w:rPr>
            </w:pPr>
            <w:r>
              <w:rPr>
                <w:color w:val="auto"/>
                <w:sz w:val="20"/>
                <w:szCs w:val="20"/>
              </w:rPr>
              <w:t>1.605</w:t>
            </w:r>
          </w:p>
        </w:tc>
        <w:tc>
          <w:tcPr>
            <w:tcW w:w="1681" w:type="dxa"/>
            <w:shd w:val="clear" w:color="auto" w:fill="auto"/>
            <w:vAlign w:val="center"/>
          </w:tcPr>
          <w:p w14:paraId="715245CC" w14:textId="77777777" w:rsidR="00765CE7" w:rsidRDefault="00B80ACE">
            <w:pPr>
              <w:jc w:val="center"/>
              <w:rPr>
                <w:color w:val="auto"/>
                <w:sz w:val="20"/>
                <w:szCs w:val="20"/>
              </w:rPr>
            </w:pPr>
            <w:r>
              <w:rPr>
                <w:color w:val="auto"/>
                <w:sz w:val="20"/>
                <w:szCs w:val="20"/>
              </w:rPr>
              <w:t>890</w:t>
            </w:r>
          </w:p>
        </w:tc>
        <w:tc>
          <w:tcPr>
            <w:tcW w:w="1634" w:type="dxa"/>
            <w:shd w:val="clear" w:color="auto" w:fill="auto"/>
            <w:vAlign w:val="center"/>
          </w:tcPr>
          <w:p w14:paraId="7C4CA46F" w14:textId="77777777" w:rsidR="00765CE7" w:rsidRDefault="00B80ACE">
            <w:pPr>
              <w:jc w:val="center"/>
              <w:rPr>
                <w:color w:val="auto"/>
                <w:sz w:val="20"/>
                <w:szCs w:val="20"/>
              </w:rPr>
            </w:pPr>
            <w:r>
              <w:rPr>
                <w:color w:val="auto"/>
                <w:sz w:val="20"/>
                <w:szCs w:val="20"/>
              </w:rPr>
              <w:t>133</w:t>
            </w:r>
          </w:p>
        </w:tc>
      </w:tr>
      <w:tr w:rsidR="00B228BD" w14:paraId="65BD7CA3" w14:textId="77777777" w:rsidTr="004400F0">
        <w:trPr>
          <w:trHeight w:hRule="exact" w:val="284"/>
          <w:jc w:val="center"/>
        </w:trPr>
        <w:tc>
          <w:tcPr>
            <w:tcW w:w="2411" w:type="dxa"/>
            <w:shd w:val="clear" w:color="auto" w:fill="FFFFFF" w:themeFill="background1"/>
            <w:vAlign w:val="center"/>
          </w:tcPr>
          <w:p w14:paraId="688B8E33" w14:textId="2FF35F61" w:rsidR="00B228BD" w:rsidRPr="00B228BD" w:rsidRDefault="00B228BD" w:rsidP="00B228BD">
            <w:pPr>
              <w:jc w:val="center"/>
              <w:rPr>
                <w:color w:val="auto"/>
                <w:sz w:val="20"/>
                <w:szCs w:val="20"/>
                <w:lang w:val="sr-Latn-BA"/>
              </w:rPr>
            </w:pPr>
            <w:r w:rsidRPr="00B228BD">
              <w:rPr>
                <w:color w:val="auto"/>
                <w:sz w:val="20"/>
                <w:szCs w:val="20"/>
                <w:lang w:val="sr-Latn-BA"/>
              </w:rPr>
              <w:t>2017.</w:t>
            </w:r>
          </w:p>
        </w:tc>
        <w:tc>
          <w:tcPr>
            <w:tcW w:w="2383" w:type="dxa"/>
            <w:shd w:val="clear" w:color="auto" w:fill="FFFFFF" w:themeFill="background1"/>
            <w:vAlign w:val="center"/>
          </w:tcPr>
          <w:p w14:paraId="4CDB19B0" w14:textId="269ECF73" w:rsidR="00B228BD" w:rsidRPr="00B228BD" w:rsidRDefault="00B228BD" w:rsidP="00B228BD">
            <w:pPr>
              <w:jc w:val="center"/>
              <w:rPr>
                <w:color w:val="auto"/>
                <w:sz w:val="20"/>
                <w:szCs w:val="20"/>
              </w:rPr>
            </w:pPr>
            <w:r w:rsidRPr="00B228BD">
              <w:rPr>
                <w:color w:val="auto"/>
                <w:sz w:val="20"/>
                <w:szCs w:val="20"/>
              </w:rPr>
              <w:t>2.593</w:t>
            </w:r>
          </w:p>
        </w:tc>
        <w:tc>
          <w:tcPr>
            <w:tcW w:w="1681" w:type="dxa"/>
            <w:shd w:val="clear" w:color="auto" w:fill="FFFFFF" w:themeFill="background1"/>
            <w:vAlign w:val="center"/>
          </w:tcPr>
          <w:p w14:paraId="0C7542A4" w14:textId="358945FF" w:rsidR="00B228BD" w:rsidRPr="00B228BD" w:rsidRDefault="00B228BD" w:rsidP="00B228BD">
            <w:pPr>
              <w:jc w:val="center"/>
              <w:rPr>
                <w:color w:val="auto"/>
                <w:sz w:val="20"/>
                <w:szCs w:val="20"/>
              </w:rPr>
            </w:pPr>
            <w:r w:rsidRPr="00B228BD">
              <w:rPr>
                <w:color w:val="auto"/>
                <w:sz w:val="20"/>
                <w:szCs w:val="20"/>
              </w:rPr>
              <w:t>1.682</w:t>
            </w:r>
          </w:p>
        </w:tc>
        <w:tc>
          <w:tcPr>
            <w:tcW w:w="1681" w:type="dxa"/>
            <w:shd w:val="clear" w:color="auto" w:fill="FFFFFF" w:themeFill="background1"/>
            <w:vAlign w:val="center"/>
          </w:tcPr>
          <w:p w14:paraId="098A4EEB" w14:textId="6E4F0B98" w:rsidR="00B228BD" w:rsidRPr="00B228BD" w:rsidRDefault="00B228BD" w:rsidP="00B228BD">
            <w:pPr>
              <w:jc w:val="center"/>
              <w:rPr>
                <w:color w:val="auto"/>
                <w:sz w:val="20"/>
                <w:szCs w:val="20"/>
              </w:rPr>
            </w:pPr>
            <w:r w:rsidRPr="00B228BD">
              <w:rPr>
                <w:color w:val="auto"/>
                <w:sz w:val="20"/>
                <w:szCs w:val="20"/>
              </w:rPr>
              <w:t>769</w:t>
            </w:r>
          </w:p>
        </w:tc>
        <w:tc>
          <w:tcPr>
            <w:tcW w:w="1634" w:type="dxa"/>
            <w:shd w:val="clear" w:color="auto" w:fill="FFFFFF" w:themeFill="background1"/>
            <w:vAlign w:val="center"/>
          </w:tcPr>
          <w:p w14:paraId="697CBCC1" w14:textId="77777777" w:rsidR="00B228BD" w:rsidRPr="00B228BD" w:rsidRDefault="00B228BD" w:rsidP="00B228BD">
            <w:pPr>
              <w:jc w:val="center"/>
              <w:rPr>
                <w:color w:val="auto"/>
                <w:sz w:val="20"/>
                <w:szCs w:val="20"/>
              </w:rPr>
            </w:pPr>
            <w:r w:rsidRPr="00B228BD">
              <w:rPr>
                <w:color w:val="auto"/>
                <w:sz w:val="20"/>
                <w:szCs w:val="20"/>
              </w:rPr>
              <w:t>142</w:t>
            </w:r>
          </w:p>
          <w:p w14:paraId="71621FBD" w14:textId="77777777" w:rsidR="00B228BD" w:rsidRPr="00B228BD" w:rsidRDefault="00B228BD" w:rsidP="00B228BD">
            <w:pPr>
              <w:jc w:val="center"/>
              <w:rPr>
                <w:color w:val="auto"/>
                <w:sz w:val="20"/>
                <w:szCs w:val="20"/>
              </w:rPr>
            </w:pPr>
          </w:p>
          <w:p w14:paraId="1A024FD6" w14:textId="77777777" w:rsidR="00B228BD" w:rsidRPr="00B228BD" w:rsidRDefault="00B228BD" w:rsidP="00B228BD">
            <w:pPr>
              <w:jc w:val="center"/>
              <w:rPr>
                <w:color w:val="auto"/>
                <w:sz w:val="20"/>
                <w:szCs w:val="20"/>
              </w:rPr>
            </w:pPr>
          </w:p>
        </w:tc>
      </w:tr>
      <w:tr w:rsidR="00B228BD" w14:paraId="4F1A2808" w14:textId="77777777" w:rsidTr="004400F0">
        <w:trPr>
          <w:trHeight w:hRule="exact" w:val="284"/>
          <w:jc w:val="center"/>
        </w:trPr>
        <w:tc>
          <w:tcPr>
            <w:tcW w:w="2411" w:type="dxa"/>
            <w:shd w:val="clear" w:color="auto" w:fill="FFFFFF" w:themeFill="background1"/>
            <w:vAlign w:val="center"/>
          </w:tcPr>
          <w:p w14:paraId="6168CADC" w14:textId="46199A6B" w:rsidR="00B228BD" w:rsidRDefault="00B228BD" w:rsidP="00B228BD">
            <w:pPr>
              <w:jc w:val="center"/>
              <w:rPr>
                <w:b/>
                <w:color w:val="auto"/>
                <w:sz w:val="20"/>
                <w:szCs w:val="20"/>
                <w:lang w:val="sr-Latn-BA"/>
              </w:rPr>
            </w:pPr>
            <w:r>
              <w:rPr>
                <w:b/>
                <w:color w:val="auto"/>
                <w:sz w:val="20"/>
                <w:szCs w:val="20"/>
                <w:lang w:val="sr-Latn-BA"/>
              </w:rPr>
              <w:t>2018.</w:t>
            </w:r>
          </w:p>
        </w:tc>
        <w:tc>
          <w:tcPr>
            <w:tcW w:w="2383" w:type="dxa"/>
            <w:shd w:val="clear" w:color="auto" w:fill="FFFFFF" w:themeFill="background1"/>
            <w:vAlign w:val="center"/>
          </w:tcPr>
          <w:p w14:paraId="0C3B52DC" w14:textId="3E093574" w:rsidR="00B228BD" w:rsidRDefault="00B228BD" w:rsidP="00B228BD">
            <w:pPr>
              <w:jc w:val="center"/>
              <w:rPr>
                <w:b/>
                <w:color w:val="auto"/>
                <w:sz w:val="20"/>
                <w:szCs w:val="20"/>
              </w:rPr>
            </w:pPr>
            <w:r>
              <w:rPr>
                <w:b/>
                <w:sz w:val="20"/>
                <w:szCs w:val="20"/>
              </w:rPr>
              <w:t>2.822</w:t>
            </w:r>
          </w:p>
        </w:tc>
        <w:tc>
          <w:tcPr>
            <w:tcW w:w="1681" w:type="dxa"/>
            <w:shd w:val="clear" w:color="auto" w:fill="FFFFFF" w:themeFill="background1"/>
            <w:vAlign w:val="center"/>
          </w:tcPr>
          <w:p w14:paraId="5AE67BD7" w14:textId="7C4BD1DF" w:rsidR="00B228BD" w:rsidRDefault="00B228BD" w:rsidP="00B228BD">
            <w:pPr>
              <w:jc w:val="center"/>
              <w:rPr>
                <w:b/>
                <w:color w:val="auto"/>
                <w:sz w:val="20"/>
                <w:szCs w:val="20"/>
              </w:rPr>
            </w:pPr>
            <w:r>
              <w:rPr>
                <w:b/>
                <w:sz w:val="20"/>
                <w:szCs w:val="20"/>
              </w:rPr>
              <w:t>1.806</w:t>
            </w:r>
          </w:p>
        </w:tc>
        <w:tc>
          <w:tcPr>
            <w:tcW w:w="1681" w:type="dxa"/>
            <w:shd w:val="clear" w:color="auto" w:fill="FFFFFF" w:themeFill="background1"/>
            <w:vAlign w:val="center"/>
          </w:tcPr>
          <w:p w14:paraId="5729D09A" w14:textId="03BF5C6B" w:rsidR="00B228BD" w:rsidRDefault="00B228BD" w:rsidP="00B228BD">
            <w:pPr>
              <w:jc w:val="center"/>
              <w:rPr>
                <w:b/>
                <w:color w:val="auto"/>
                <w:sz w:val="20"/>
                <w:szCs w:val="20"/>
              </w:rPr>
            </w:pPr>
            <w:r>
              <w:rPr>
                <w:b/>
                <w:sz w:val="20"/>
                <w:szCs w:val="20"/>
              </w:rPr>
              <w:t>881</w:t>
            </w:r>
          </w:p>
        </w:tc>
        <w:tc>
          <w:tcPr>
            <w:tcW w:w="1634" w:type="dxa"/>
            <w:shd w:val="clear" w:color="auto" w:fill="FFFFFF" w:themeFill="background1"/>
            <w:vAlign w:val="center"/>
          </w:tcPr>
          <w:p w14:paraId="7A349A8E" w14:textId="5F491769" w:rsidR="00B228BD" w:rsidRDefault="00B228BD" w:rsidP="00B228BD">
            <w:pPr>
              <w:jc w:val="center"/>
              <w:rPr>
                <w:b/>
                <w:color w:val="auto"/>
                <w:sz w:val="20"/>
                <w:szCs w:val="20"/>
              </w:rPr>
            </w:pPr>
            <w:r>
              <w:rPr>
                <w:b/>
                <w:sz w:val="20"/>
                <w:szCs w:val="20"/>
              </w:rPr>
              <w:t>135</w:t>
            </w:r>
          </w:p>
        </w:tc>
      </w:tr>
      <w:tr w:rsidR="006C259F" w14:paraId="6F649076" w14:textId="77777777" w:rsidTr="004400F0">
        <w:trPr>
          <w:trHeight w:hRule="exact" w:val="73"/>
          <w:jc w:val="center"/>
        </w:trPr>
        <w:tc>
          <w:tcPr>
            <w:tcW w:w="2411" w:type="dxa"/>
            <w:tcBorders>
              <w:bottom w:val="single" w:sz="12" w:space="0" w:color="auto"/>
            </w:tcBorders>
            <w:shd w:val="clear" w:color="auto" w:fill="FFFFFF" w:themeFill="background1"/>
            <w:vAlign w:val="center"/>
          </w:tcPr>
          <w:p w14:paraId="416C4796" w14:textId="77777777" w:rsidR="006C259F" w:rsidRDefault="006C259F" w:rsidP="00B228BD">
            <w:pPr>
              <w:jc w:val="center"/>
              <w:rPr>
                <w:b/>
                <w:color w:val="auto"/>
                <w:sz w:val="20"/>
                <w:szCs w:val="20"/>
                <w:lang w:val="sr-Latn-BA"/>
              </w:rPr>
            </w:pPr>
          </w:p>
        </w:tc>
        <w:tc>
          <w:tcPr>
            <w:tcW w:w="2383" w:type="dxa"/>
            <w:tcBorders>
              <w:bottom w:val="single" w:sz="12" w:space="0" w:color="auto"/>
            </w:tcBorders>
            <w:shd w:val="clear" w:color="auto" w:fill="FFFFFF" w:themeFill="background1"/>
            <w:vAlign w:val="center"/>
          </w:tcPr>
          <w:p w14:paraId="72031C68" w14:textId="77777777" w:rsidR="006C259F" w:rsidRDefault="006C259F" w:rsidP="00B228BD">
            <w:pPr>
              <w:jc w:val="center"/>
              <w:rPr>
                <w:b/>
                <w:sz w:val="20"/>
                <w:szCs w:val="20"/>
              </w:rPr>
            </w:pPr>
          </w:p>
        </w:tc>
        <w:tc>
          <w:tcPr>
            <w:tcW w:w="1681" w:type="dxa"/>
            <w:tcBorders>
              <w:bottom w:val="single" w:sz="12" w:space="0" w:color="auto"/>
            </w:tcBorders>
            <w:shd w:val="clear" w:color="auto" w:fill="FFFFFF" w:themeFill="background1"/>
            <w:vAlign w:val="center"/>
          </w:tcPr>
          <w:p w14:paraId="7C65B697" w14:textId="77777777" w:rsidR="006C259F" w:rsidRDefault="006C259F" w:rsidP="00B228BD">
            <w:pPr>
              <w:jc w:val="center"/>
              <w:rPr>
                <w:b/>
                <w:sz w:val="20"/>
                <w:szCs w:val="20"/>
              </w:rPr>
            </w:pPr>
          </w:p>
        </w:tc>
        <w:tc>
          <w:tcPr>
            <w:tcW w:w="1681" w:type="dxa"/>
            <w:tcBorders>
              <w:bottom w:val="single" w:sz="12" w:space="0" w:color="auto"/>
            </w:tcBorders>
            <w:shd w:val="clear" w:color="auto" w:fill="FFFFFF" w:themeFill="background1"/>
            <w:vAlign w:val="center"/>
          </w:tcPr>
          <w:p w14:paraId="651AC5F3" w14:textId="77777777" w:rsidR="006C259F" w:rsidRDefault="006C259F" w:rsidP="00B228BD">
            <w:pPr>
              <w:jc w:val="center"/>
              <w:rPr>
                <w:b/>
                <w:sz w:val="20"/>
                <w:szCs w:val="20"/>
              </w:rPr>
            </w:pPr>
          </w:p>
        </w:tc>
        <w:tc>
          <w:tcPr>
            <w:tcW w:w="1634" w:type="dxa"/>
            <w:tcBorders>
              <w:bottom w:val="single" w:sz="12" w:space="0" w:color="auto"/>
            </w:tcBorders>
            <w:shd w:val="clear" w:color="auto" w:fill="FFFFFF" w:themeFill="background1"/>
            <w:vAlign w:val="center"/>
          </w:tcPr>
          <w:p w14:paraId="4F28E84C" w14:textId="77777777" w:rsidR="006C259F" w:rsidRDefault="006C259F" w:rsidP="00B228BD">
            <w:pPr>
              <w:jc w:val="center"/>
              <w:rPr>
                <w:b/>
                <w:sz w:val="20"/>
                <w:szCs w:val="20"/>
              </w:rPr>
            </w:pPr>
          </w:p>
        </w:tc>
      </w:tr>
      <w:tr w:rsidR="006C259F" w14:paraId="178CF6E1" w14:textId="77777777" w:rsidTr="00221B5E">
        <w:trPr>
          <w:trHeight w:hRule="exact" w:val="566"/>
          <w:jc w:val="center"/>
        </w:trPr>
        <w:tc>
          <w:tcPr>
            <w:tcW w:w="241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E2ED7F9" w14:textId="3A2A946F" w:rsidR="006C259F" w:rsidRPr="004400F0" w:rsidRDefault="006C259F" w:rsidP="006C259F">
            <w:pPr>
              <w:jc w:val="center"/>
              <w:rPr>
                <w:b/>
                <w:color w:val="auto"/>
                <w:sz w:val="20"/>
                <w:szCs w:val="20"/>
                <w:lang w:val="sr-Latn-BA"/>
              </w:rPr>
            </w:pPr>
            <w:r w:rsidRPr="004400F0">
              <w:rPr>
                <w:b/>
                <w:sz w:val="20"/>
                <w:szCs w:val="20"/>
                <w:lang w:val="sr-Latn-BA"/>
              </w:rPr>
              <w:t>promjene (+/-)                          2018/2017 (%)</w:t>
            </w:r>
          </w:p>
        </w:tc>
        <w:tc>
          <w:tcPr>
            <w:tcW w:w="2383"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06203411" w14:textId="0E8D2FC2" w:rsidR="006C259F" w:rsidRDefault="006C259F" w:rsidP="006C259F">
            <w:pPr>
              <w:jc w:val="center"/>
              <w:rPr>
                <w:b/>
                <w:sz w:val="20"/>
                <w:szCs w:val="20"/>
              </w:rPr>
            </w:pPr>
            <w:r>
              <w:rPr>
                <w:sz w:val="20"/>
                <w:szCs w:val="20"/>
              </w:rPr>
              <w:t>8,83</w:t>
            </w:r>
          </w:p>
        </w:tc>
        <w:tc>
          <w:tcPr>
            <w:tcW w:w="168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C7A2407" w14:textId="596DD940" w:rsidR="006C259F" w:rsidRDefault="006C259F" w:rsidP="006C259F">
            <w:pPr>
              <w:jc w:val="center"/>
              <w:rPr>
                <w:b/>
                <w:sz w:val="20"/>
                <w:szCs w:val="20"/>
              </w:rPr>
            </w:pPr>
            <w:r>
              <w:rPr>
                <w:sz w:val="20"/>
                <w:szCs w:val="20"/>
              </w:rPr>
              <w:t>7,37</w:t>
            </w:r>
          </w:p>
        </w:tc>
        <w:tc>
          <w:tcPr>
            <w:tcW w:w="1681"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14C4EEB2" w14:textId="663459CB" w:rsidR="006C259F" w:rsidRDefault="006C259F" w:rsidP="006C259F">
            <w:pPr>
              <w:jc w:val="center"/>
              <w:rPr>
                <w:b/>
                <w:sz w:val="20"/>
                <w:szCs w:val="20"/>
              </w:rPr>
            </w:pPr>
            <w:r>
              <w:rPr>
                <w:sz w:val="20"/>
                <w:szCs w:val="20"/>
              </w:rPr>
              <w:t>14,56</w:t>
            </w:r>
          </w:p>
        </w:tc>
        <w:tc>
          <w:tcPr>
            <w:tcW w:w="1634" w:type="dxa"/>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14:paraId="6205E772" w14:textId="0165B005" w:rsidR="006C259F" w:rsidRDefault="006C259F" w:rsidP="006C259F">
            <w:pPr>
              <w:jc w:val="center"/>
              <w:rPr>
                <w:b/>
                <w:sz w:val="20"/>
                <w:szCs w:val="20"/>
              </w:rPr>
            </w:pPr>
            <w:r>
              <w:rPr>
                <w:sz w:val="20"/>
                <w:szCs w:val="20"/>
              </w:rPr>
              <w:t>-4,93</w:t>
            </w:r>
          </w:p>
        </w:tc>
      </w:tr>
    </w:tbl>
    <w:p w14:paraId="397E8ADB" w14:textId="355742B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CD1589">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 xml:space="preserve">Distrikta </w:t>
      </w:r>
      <w:r>
        <w:rPr>
          <w:i/>
          <w:color w:val="auto"/>
          <w:sz w:val="20"/>
          <w:szCs w:val="20"/>
          <w:lang w:eastAsia="en-US"/>
        </w:rPr>
        <w:t>BiH.</w:t>
      </w:r>
    </w:p>
    <w:p w14:paraId="211DA349" w14:textId="77777777" w:rsidR="009632F5" w:rsidRDefault="009632F5" w:rsidP="009632F5">
      <w:pPr>
        <w:ind w:firstLine="0"/>
        <w:rPr>
          <w:color w:val="auto"/>
        </w:rPr>
      </w:pPr>
    </w:p>
    <w:p w14:paraId="158A3E75" w14:textId="15F1D809" w:rsidR="006C259F" w:rsidRDefault="00CB414E" w:rsidP="009632F5">
      <w:pPr>
        <w:ind w:firstLine="0"/>
        <w:rPr>
          <w:color w:val="auto"/>
          <w:szCs w:val="24"/>
          <w:lang w:val="sr-Latn-BA"/>
        </w:rPr>
      </w:pPr>
      <w:r>
        <w:rPr>
          <w:color w:val="auto"/>
        </w:rPr>
        <w:t>U</w:t>
      </w:r>
      <w:r w:rsidR="006C259F">
        <w:rPr>
          <w:rFonts w:eastAsia="SimSun"/>
          <w:color w:val="auto"/>
          <w:kern w:val="2"/>
          <w:szCs w:val="20"/>
          <w:lang w:eastAsia="zh-CN"/>
        </w:rPr>
        <w:t xml:space="preserve">kupan </w:t>
      </w:r>
      <w:r w:rsidR="006C259F">
        <w:rPr>
          <w:lang w:val="sr-Latn-BA"/>
        </w:rPr>
        <w:t xml:space="preserve">broj radnih dozvola koje su izdate strancima u Bosni i Hercegovini u 2018. godini  iznosio je </w:t>
      </w:r>
      <w:r w:rsidR="006C259F">
        <w:rPr>
          <w:b/>
          <w:lang w:val="sr-Latn-BA"/>
        </w:rPr>
        <w:t>2.822 radne dozvole</w:t>
      </w:r>
      <w:r w:rsidR="006C259F">
        <w:rPr>
          <w:lang w:val="sr-Latn-BA"/>
        </w:rPr>
        <w:t xml:space="preserve">, </w:t>
      </w:r>
      <w:r w:rsidR="006C259F">
        <w:rPr>
          <w:b/>
          <w:lang w:val="sr-Latn-BA"/>
        </w:rPr>
        <w:t>što predstavlja povećanje od 8,83%</w:t>
      </w:r>
      <w:r w:rsidR="006C259F">
        <w:rPr>
          <w:lang w:val="sr-Latn-BA"/>
        </w:rPr>
        <w:t xml:space="preserve"> u odnosu na 2017. godinu.</w:t>
      </w:r>
      <w:r w:rsidR="006C259F">
        <w:rPr>
          <w:color w:val="FF0000"/>
          <w:lang w:val="sr-Latn-BA"/>
        </w:rPr>
        <w:t xml:space="preserve"> </w:t>
      </w:r>
      <w:r w:rsidR="006C259F">
        <w:rPr>
          <w:lang w:val="sr-Latn-BA"/>
        </w:rPr>
        <w:t xml:space="preserve">U Federaciji BiH u 2018. godini izdato je 1.806 radnih dozvola što je više za 7,37%, u Republici Srpskoj 881 radna dozvola, što je više za 14,56%, a u Brčko </w:t>
      </w:r>
      <w:r w:rsidR="006143F0">
        <w:rPr>
          <w:lang w:val="sr-Latn-BA"/>
        </w:rPr>
        <w:t xml:space="preserve">Distriktu </w:t>
      </w:r>
      <w:r w:rsidR="006C259F">
        <w:rPr>
          <w:lang w:val="sr-Latn-BA"/>
        </w:rPr>
        <w:t>BiH ukupno je izdato 135 radnih dozvol</w:t>
      </w:r>
      <w:r w:rsidR="00910A5B">
        <w:rPr>
          <w:lang w:val="sr-Latn-BA"/>
        </w:rPr>
        <w:t>a</w:t>
      </w:r>
      <w:r w:rsidR="006C259F">
        <w:rPr>
          <w:lang w:val="sr-Latn-BA"/>
        </w:rPr>
        <w:t>, što je za 4,93% manje nego u 2017. godini.</w:t>
      </w:r>
    </w:p>
    <w:p w14:paraId="2278F8AC" w14:textId="77777777" w:rsidR="00317ED8" w:rsidRDefault="00317ED8" w:rsidP="00361BA0">
      <w:pPr>
        <w:ind w:left="0" w:firstLine="0"/>
        <w:rPr>
          <w:b/>
          <w:color w:val="5B9BD5" w:themeColor="accent1"/>
        </w:rPr>
      </w:pPr>
    </w:p>
    <w:p w14:paraId="33EF0091" w14:textId="00C573B0" w:rsidR="00765CE7" w:rsidRDefault="00B80ACE">
      <w:pPr>
        <w:pStyle w:val="Heading3"/>
        <w:numPr>
          <w:ilvl w:val="2"/>
          <w:numId w:val="3"/>
        </w:numPr>
        <w:rPr>
          <w:rFonts w:ascii="Times New Roman" w:hAnsi="Times New Roman" w:cs="Times New Roman"/>
          <w:b/>
          <w:i/>
          <w:color w:val="auto"/>
        </w:rPr>
      </w:pPr>
      <w:bookmarkStart w:id="14" w:name="_Toc28010135"/>
      <w:r>
        <w:rPr>
          <w:rFonts w:ascii="Times New Roman" w:hAnsi="Times New Roman" w:cs="Times New Roman"/>
          <w:b/>
          <w:i/>
          <w:color w:val="auto"/>
        </w:rPr>
        <w:t xml:space="preserve">Izdate radne dozvole </w:t>
      </w:r>
      <w:r w:rsidR="00BF7C69">
        <w:rPr>
          <w:rFonts w:ascii="Times New Roman" w:hAnsi="Times New Roman" w:cs="Times New Roman"/>
          <w:b/>
          <w:i/>
          <w:color w:val="auto"/>
        </w:rPr>
        <w:t xml:space="preserve">strancima </w:t>
      </w:r>
      <w:r>
        <w:rPr>
          <w:rFonts w:ascii="Times New Roman" w:hAnsi="Times New Roman" w:cs="Times New Roman"/>
          <w:b/>
          <w:i/>
          <w:color w:val="auto"/>
        </w:rPr>
        <w:t>prema državama porijekla</w:t>
      </w:r>
      <w:bookmarkEnd w:id="14"/>
    </w:p>
    <w:p w14:paraId="5C5C0FD8" w14:textId="77777777" w:rsidR="00716753" w:rsidRPr="00716753" w:rsidRDefault="00716753" w:rsidP="00716753"/>
    <w:p w14:paraId="5A131BA3" w14:textId="09F0663E" w:rsidR="009632F5" w:rsidRDefault="009632F5" w:rsidP="009632F5">
      <w:pPr>
        <w:spacing w:line="257" w:lineRule="auto"/>
        <w:ind w:left="0" w:right="28" w:firstLine="0"/>
      </w:pPr>
      <w:r w:rsidRPr="00EB22BA">
        <w:t xml:space="preserve">U Tabeli </w:t>
      </w:r>
      <w:r w:rsidR="00EB22BA" w:rsidRPr="00EB22BA">
        <w:t>5</w:t>
      </w:r>
      <w:r w:rsidRPr="00EB22BA">
        <w:t>.</w:t>
      </w:r>
      <w:r w:rsidR="00E25BCF">
        <w:t xml:space="preserve"> </w:t>
      </w:r>
      <w:r>
        <w:t xml:space="preserve">prikazani su podaci izdatih radnih dozvola strancima razvrstani po državama porijekla za određene države, gledano prema najvećem broju izdatih radnih dozvola i trend promjena u odnosu na 2017. godinu.   </w:t>
      </w:r>
    </w:p>
    <w:p w14:paraId="642A454C" w14:textId="77777777" w:rsidR="009632F5" w:rsidRPr="009632F5" w:rsidRDefault="009632F5" w:rsidP="009632F5">
      <w:pPr>
        <w:spacing w:line="257" w:lineRule="auto"/>
        <w:ind w:left="0" w:right="28" w:firstLine="0"/>
        <w:rPr>
          <w:color w:val="auto"/>
          <w:szCs w:val="24"/>
        </w:rPr>
      </w:pPr>
    </w:p>
    <w:p w14:paraId="63A9E7F7" w14:textId="6EA90F0B" w:rsidR="00765CE7" w:rsidRPr="00221B5E" w:rsidRDefault="00221B5E">
      <w:pPr>
        <w:ind w:hanging="577"/>
        <w:rPr>
          <w:b/>
          <w:i/>
          <w:color w:val="auto"/>
        </w:rPr>
      </w:pPr>
      <w:r>
        <w:rPr>
          <w:b/>
          <w:i/>
          <w:color w:val="auto"/>
        </w:rPr>
        <w:lastRenderedPageBreak/>
        <w:t xml:space="preserve">       </w:t>
      </w:r>
      <w:r w:rsidR="00B80ACE" w:rsidRPr="00EB22BA">
        <w:rPr>
          <w:b/>
          <w:i/>
          <w:color w:val="auto"/>
        </w:rPr>
        <w:t xml:space="preserve">Tabela </w:t>
      </w:r>
      <w:r w:rsidR="00EB22BA" w:rsidRPr="00EB22BA">
        <w:rPr>
          <w:b/>
          <w:i/>
          <w:color w:val="auto"/>
        </w:rPr>
        <w:t>5</w:t>
      </w:r>
      <w:r w:rsidR="00B80ACE" w:rsidRPr="00EB22BA">
        <w:rPr>
          <w:b/>
          <w:i/>
          <w:color w:val="auto"/>
        </w:rPr>
        <w:t>.</w:t>
      </w:r>
      <w:r w:rsidR="00E25BCF" w:rsidRPr="00EB22BA">
        <w:rPr>
          <w:b/>
          <w:i/>
          <w:color w:val="auto"/>
        </w:rPr>
        <w:t xml:space="preserve"> </w:t>
      </w:r>
      <w:r w:rsidR="00B80ACE">
        <w:rPr>
          <w:b/>
          <w:i/>
          <w:color w:val="auto"/>
        </w:rPr>
        <w:t xml:space="preserve">Izdate radne dozvole strancima razvrstane po državama porijekla </w:t>
      </w:r>
      <w:r w:rsidRPr="00221B5E">
        <w:rPr>
          <w:b/>
          <w:i/>
          <w:color w:val="auto"/>
        </w:rPr>
        <w:t xml:space="preserve">u 2017. i 2018. </w:t>
      </w:r>
      <w:r w:rsidR="003278B8">
        <w:rPr>
          <w:b/>
          <w:i/>
          <w:color w:val="auto"/>
        </w:rPr>
        <w:t xml:space="preserve">  </w:t>
      </w:r>
      <w:r w:rsidRPr="00221B5E">
        <w:rPr>
          <w:b/>
          <w:i/>
          <w:color w:val="auto"/>
        </w:rPr>
        <w:t>godini</w:t>
      </w:r>
    </w:p>
    <w:tbl>
      <w:tblPr>
        <w:tblW w:w="9660" w:type="dxa"/>
        <w:tblInd w:w="-176" w:type="dxa"/>
        <w:tblLook w:val="04A0" w:firstRow="1" w:lastRow="0" w:firstColumn="1" w:lastColumn="0" w:noHBand="0" w:noVBand="1"/>
      </w:tblPr>
      <w:tblGrid>
        <w:gridCol w:w="1104"/>
        <w:gridCol w:w="3279"/>
        <w:gridCol w:w="1750"/>
        <w:gridCol w:w="1750"/>
        <w:gridCol w:w="1777"/>
      </w:tblGrid>
      <w:tr w:rsidR="009632F5" w14:paraId="12B88832" w14:textId="77777777" w:rsidTr="00221B5E">
        <w:trPr>
          <w:trHeight w:val="480"/>
        </w:trPr>
        <w:tc>
          <w:tcPr>
            <w:tcW w:w="9660" w:type="dxa"/>
            <w:gridSpan w:val="5"/>
            <w:tcBorders>
              <w:top w:val="single" w:sz="8" w:space="0" w:color="auto"/>
              <w:left w:val="single" w:sz="8" w:space="0" w:color="auto"/>
              <w:bottom w:val="single" w:sz="8" w:space="0" w:color="auto"/>
              <w:right w:val="nil"/>
            </w:tcBorders>
            <w:shd w:val="clear" w:color="auto" w:fill="D9D9D9"/>
            <w:vAlign w:val="bottom"/>
            <w:hideMark/>
          </w:tcPr>
          <w:p w14:paraId="19A2B9A4" w14:textId="07D995FA" w:rsidR="009632F5" w:rsidRPr="00221B5E" w:rsidRDefault="009632F5">
            <w:pPr>
              <w:jc w:val="center"/>
              <w:rPr>
                <w:b/>
                <w:bCs/>
                <w:color w:val="auto"/>
                <w:sz w:val="18"/>
                <w:szCs w:val="18"/>
              </w:rPr>
            </w:pPr>
            <w:r w:rsidRPr="00221B5E">
              <w:rPr>
                <w:b/>
                <w:bCs/>
                <w:sz w:val="18"/>
                <w:szCs w:val="18"/>
              </w:rPr>
              <w:t xml:space="preserve">PREGLED IZDATIH RADNIH DOZVOLA STRANCIMA U BIH                                                                                                                                             PREMA DRŽAVAMA PORIJEKLA                                                          </w:t>
            </w:r>
            <w:r w:rsidR="00221B5E">
              <w:rPr>
                <w:b/>
                <w:bCs/>
                <w:sz w:val="18"/>
                <w:szCs w:val="18"/>
              </w:rPr>
              <w:t xml:space="preserve">               </w:t>
            </w:r>
            <w:r w:rsidRPr="00221B5E">
              <w:rPr>
                <w:b/>
                <w:bCs/>
                <w:sz w:val="18"/>
                <w:szCs w:val="18"/>
              </w:rPr>
              <w:t xml:space="preserve">                                                                                   u 2017. i 2018. godini </w:t>
            </w:r>
          </w:p>
        </w:tc>
      </w:tr>
      <w:tr w:rsidR="009632F5" w14:paraId="630A1EA2" w14:textId="77777777" w:rsidTr="00221B5E">
        <w:trPr>
          <w:trHeight w:val="369"/>
        </w:trPr>
        <w:tc>
          <w:tcPr>
            <w:tcW w:w="1104" w:type="dxa"/>
            <w:tcBorders>
              <w:top w:val="nil"/>
              <w:left w:val="single" w:sz="8" w:space="0" w:color="000000"/>
              <w:bottom w:val="single" w:sz="8" w:space="0" w:color="000000"/>
              <w:right w:val="single" w:sz="8" w:space="0" w:color="000000"/>
            </w:tcBorders>
            <w:shd w:val="clear" w:color="auto" w:fill="D9D9D9"/>
            <w:vAlign w:val="center"/>
            <w:hideMark/>
          </w:tcPr>
          <w:p w14:paraId="4C4DA1CE" w14:textId="77777777" w:rsidR="009632F5" w:rsidRPr="00221B5E" w:rsidRDefault="009632F5">
            <w:pPr>
              <w:rPr>
                <w:b/>
                <w:bCs/>
                <w:sz w:val="18"/>
                <w:szCs w:val="18"/>
                <w:lang w:val="hr-HR" w:eastAsia="hr-HR"/>
              </w:rPr>
            </w:pPr>
            <w:r w:rsidRPr="00221B5E">
              <w:rPr>
                <w:b/>
                <w:bCs/>
                <w:sz w:val="18"/>
                <w:szCs w:val="18"/>
              </w:rPr>
              <w:t xml:space="preserve">R.br. </w:t>
            </w:r>
          </w:p>
        </w:tc>
        <w:tc>
          <w:tcPr>
            <w:tcW w:w="3279" w:type="dxa"/>
            <w:tcBorders>
              <w:top w:val="nil"/>
              <w:left w:val="nil"/>
              <w:bottom w:val="single" w:sz="8" w:space="0" w:color="000000"/>
              <w:right w:val="single" w:sz="8" w:space="0" w:color="000000"/>
            </w:tcBorders>
            <w:shd w:val="clear" w:color="auto" w:fill="D9D9D9"/>
            <w:vAlign w:val="center"/>
            <w:hideMark/>
          </w:tcPr>
          <w:p w14:paraId="59454C27" w14:textId="77777777" w:rsidR="009632F5" w:rsidRPr="00221B5E" w:rsidRDefault="009632F5">
            <w:pPr>
              <w:rPr>
                <w:b/>
                <w:bCs/>
                <w:sz w:val="18"/>
                <w:szCs w:val="18"/>
              </w:rPr>
            </w:pPr>
            <w:r w:rsidRPr="00221B5E">
              <w:rPr>
                <w:b/>
                <w:bCs/>
                <w:sz w:val="18"/>
                <w:szCs w:val="18"/>
              </w:rPr>
              <w:t>Državljanstvo</w:t>
            </w:r>
          </w:p>
        </w:tc>
        <w:tc>
          <w:tcPr>
            <w:tcW w:w="1750" w:type="dxa"/>
            <w:tcBorders>
              <w:top w:val="nil"/>
              <w:left w:val="nil"/>
              <w:bottom w:val="single" w:sz="8" w:space="0" w:color="000000"/>
              <w:right w:val="double" w:sz="6" w:space="0" w:color="000000"/>
            </w:tcBorders>
            <w:shd w:val="clear" w:color="auto" w:fill="D9D9D9"/>
            <w:vAlign w:val="center"/>
            <w:hideMark/>
          </w:tcPr>
          <w:p w14:paraId="528758B9" w14:textId="77777777" w:rsidR="009632F5" w:rsidRPr="00221B5E" w:rsidRDefault="009632F5">
            <w:pPr>
              <w:jc w:val="center"/>
              <w:rPr>
                <w:b/>
                <w:bCs/>
                <w:sz w:val="18"/>
                <w:szCs w:val="18"/>
              </w:rPr>
            </w:pPr>
            <w:r w:rsidRPr="00221B5E">
              <w:rPr>
                <w:b/>
                <w:bCs/>
                <w:sz w:val="18"/>
                <w:szCs w:val="18"/>
              </w:rPr>
              <w:t>2017</w:t>
            </w:r>
          </w:p>
        </w:tc>
        <w:tc>
          <w:tcPr>
            <w:tcW w:w="1750" w:type="dxa"/>
            <w:tcBorders>
              <w:top w:val="nil"/>
              <w:left w:val="nil"/>
              <w:bottom w:val="single" w:sz="8" w:space="0" w:color="000000"/>
              <w:right w:val="single" w:sz="8" w:space="0" w:color="000000"/>
            </w:tcBorders>
            <w:shd w:val="clear" w:color="auto" w:fill="D9D9D9"/>
            <w:vAlign w:val="center"/>
            <w:hideMark/>
          </w:tcPr>
          <w:p w14:paraId="2D6381E8" w14:textId="77777777" w:rsidR="009632F5" w:rsidRPr="00221B5E" w:rsidRDefault="009632F5">
            <w:pPr>
              <w:jc w:val="center"/>
              <w:rPr>
                <w:b/>
                <w:bCs/>
                <w:sz w:val="18"/>
                <w:szCs w:val="18"/>
              </w:rPr>
            </w:pPr>
            <w:r w:rsidRPr="00221B5E">
              <w:rPr>
                <w:b/>
                <w:bCs/>
                <w:sz w:val="18"/>
                <w:szCs w:val="18"/>
              </w:rPr>
              <w:t>2018</w:t>
            </w:r>
          </w:p>
        </w:tc>
        <w:tc>
          <w:tcPr>
            <w:tcW w:w="1777" w:type="dxa"/>
            <w:tcBorders>
              <w:top w:val="nil"/>
              <w:left w:val="nil"/>
              <w:bottom w:val="single" w:sz="8" w:space="0" w:color="000000"/>
              <w:right w:val="single" w:sz="8" w:space="0" w:color="000000"/>
            </w:tcBorders>
            <w:shd w:val="clear" w:color="auto" w:fill="D9D9D9"/>
            <w:vAlign w:val="center"/>
            <w:hideMark/>
          </w:tcPr>
          <w:p w14:paraId="5D7B6CCF" w14:textId="01562E01" w:rsidR="009632F5" w:rsidRPr="00221B5E" w:rsidRDefault="009632F5">
            <w:pPr>
              <w:jc w:val="center"/>
              <w:rPr>
                <w:b/>
                <w:bCs/>
                <w:sz w:val="18"/>
                <w:szCs w:val="18"/>
              </w:rPr>
            </w:pPr>
            <w:r w:rsidRPr="00221B5E">
              <w:rPr>
                <w:b/>
                <w:bCs/>
                <w:sz w:val="18"/>
                <w:szCs w:val="18"/>
              </w:rPr>
              <w:t xml:space="preserve"> promjene (+/-)                          201</w:t>
            </w:r>
            <w:r w:rsidR="00C94713">
              <w:rPr>
                <w:b/>
                <w:bCs/>
                <w:sz w:val="18"/>
                <w:szCs w:val="18"/>
              </w:rPr>
              <w:t>8</w:t>
            </w:r>
            <w:r w:rsidRPr="00221B5E">
              <w:rPr>
                <w:b/>
                <w:bCs/>
                <w:sz w:val="18"/>
                <w:szCs w:val="18"/>
              </w:rPr>
              <w:t>/201</w:t>
            </w:r>
            <w:r w:rsidR="00745636">
              <w:rPr>
                <w:b/>
                <w:bCs/>
                <w:sz w:val="18"/>
                <w:szCs w:val="18"/>
              </w:rPr>
              <w:t xml:space="preserve">7 </w:t>
            </w:r>
            <w:r w:rsidRPr="00221B5E">
              <w:rPr>
                <w:b/>
                <w:bCs/>
                <w:sz w:val="18"/>
                <w:szCs w:val="18"/>
              </w:rPr>
              <w:t>(%)</w:t>
            </w:r>
          </w:p>
        </w:tc>
      </w:tr>
      <w:tr w:rsidR="009632F5" w14:paraId="25DDD3A3"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16461A1A" w14:textId="77777777" w:rsidR="009632F5" w:rsidRPr="00221B5E" w:rsidRDefault="009632F5">
            <w:pPr>
              <w:jc w:val="center"/>
              <w:rPr>
                <w:sz w:val="20"/>
                <w:szCs w:val="20"/>
              </w:rPr>
            </w:pPr>
            <w:r w:rsidRPr="00221B5E">
              <w:rPr>
                <w:sz w:val="20"/>
                <w:szCs w:val="20"/>
              </w:rPr>
              <w:t xml:space="preserve">1. </w:t>
            </w:r>
          </w:p>
        </w:tc>
        <w:tc>
          <w:tcPr>
            <w:tcW w:w="3279" w:type="dxa"/>
            <w:tcBorders>
              <w:top w:val="nil"/>
              <w:left w:val="nil"/>
              <w:bottom w:val="single" w:sz="4" w:space="0" w:color="000000"/>
              <w:right w:val="single" w:sz="8" w:space="0" w:color="000000"/>
            </w:tcBorders>
            <w:vAlign w:val="center"/>
            <w:hideMark/>
          </w:tcPr>
          <w:p w14:paraId="1A64047B" w14:textId="77777777" w:rsidR="009632F5" w:rsidRPr="00221B5E" w:rsidRDefault="009632F5">
            <w:pPr>
              <w:rPr>
                <w:sz w:val="20"/>
                <w:szCs w:val="20"/>
              </w:rPr>
            </w:pPr>
            <w:r w:rsidRPr="00221B5E">
              <w:rPr>
                <w:sz w:val="20"/>
                <w:szCs w:val="20"/>
              </w:rPr>
              <w:t xml:space="preserve">Srbija </w:t>
            </w:r>
          </w:p>
        </w:tc>
        <w:tc>
          <w:tcPr>
            <w:tcW w:w="1750" w:type="dxa"/>
            <w:tcBorders>
              <w:top w:val="nil"/>
              <w:left w:val="nil"/>
              <w:bottom w:val="single" w:sz="4" w:space="0" w:color="000000"/>
              <w:right w:val="double" w:sz="6" w:space="0" w:color="000000"/>
            </w:tcBorders>
            <w:vAlign w:val="center"/>
            <w:hideMark/>
          </w:tcPr>
          <w:p w14:paraId="0A0C9C88" w14:textId="77777777" w:rsidR="009632F5" w:rsidRPr="00221B5E" w:rsidRDefault="009632F5">
            <w:pPr>
              <w:jc w:val="center"/>
              <w:rPr>
                <w:sz w:val="20"/>
                <w:szCs w:val="20"/>
              </w:rPr>
            </w:pPr>
            <w:r w:rsidRPr="00221B5E">
              <w:rPr>
                <w:sz w:val="20"/>
                <w:szCs w:val="20"/>
              </w:rPr>
              <w:t>679</w:t>
            </w:r>
          </w:p>
        </w:tc>
        <w:tc>
          <w:tcPr>
            <w:tcW w:w="1750" w:type="dxa"/>
            <w:tcBorders>
              <w:top w:val="nil"/>
              <w:left w:val="nil"/>
              <w:bottom w:val="single" w:sz="4" w:space="0" w:color="000000"/>
              <w:right w:val="single" w:sz="8" w:space="0" w:color="000000"/>
            </w:tcBorders>
            <w:vAlign w:val="center"/>
            <w:hideMark/>
          </w:tcPr>
          <w:p w14:paraId="20DDC993" w14:textId="77777777" w:rsidR="009632F5" w:rsidRPr="00221B5E" w:rsidRDefault="009632F5">
            <w:pPr>
              <w:jc w:val="center"/>
              <w:rPr>
                <w:sz w:val="20"/>
                <w:szCs w:val="20"/>
              </w:rPr>
            </w:pPr>
            <w:r w:rsidRPr="00221B5E">
              <w:rPr>
                <w:sz w:val="20"/>
                <w:szCs w:val="20"/>
              </w:rPr>
              <w:t>733</w:t>
            </w:r>
          </w:p>
        </w:tc>
        <w:tc>
          <w:tcPr>
            <w:tcW w:w="1777" w:type="dxa"/>
            <w:tcBorders>
              <w:top w:val="nil"/>
              <w:left w:val="nil"/>
              <w:bottom w:val="single" w:sz="4" w:space="0" w:color="000000"/>
              <w:right w:val="single" w:sz="8" w:space="0" w:color="000000"/>
            </w:tcBorders>
            <w:shd w:val="clear" w:color="auto" w:fill="D9D9D9"/>
            <w:vAlign w:val="center"/>
            <w:hideMark/>
          </w:tcPr>
          <w:p w14:paraId="778AE0C5" w14:textId="77777777" w:rsidR="009632F5" w:rsidRPr="00221B5E" w:rsidRDefault="009632F5">
            <w:pPr>
              <w:jc w:val="center"/>
              <w:rPr>
                <w:sz w:val="20"/>
                <w:szCs w:val="20"/>
              </w:rPr>
            </w:pPr>
            <w:r w:rsidRPr="00221B5E">
              <w:rPr>
                <w:sz w:val="20"/>
                <w:szCs w:val="20"/>
              </w:rPr>
              <w:t>7,95</w:t>
            </w:r>
          </w:p>
        </w:tc>
      </w:tr>
      <w:tr w:rsidR="009632F5" w14:paraId="61968FE7"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A0CE79C" w14:textId="77777777" w:rsidR="009632F5" w:rsidRPr="00221B5E" w:rsidRDefault="009632F5">
            <w:pPr>
              <w:jc w:val="center"/>
              <w:rPr>
                <w:sz w:val="20"/>
                <w:szCs w:val="20"/>
              </w:rPr>
            </w:pPr>
            <w:r w:rsidRPr="00221B5E">
              <w:rPr>
                <w:sz w:val="20"/>
                <w:szCs w:val="20"/>
              </w:rPr>
              <w:t xml:space="preserve">2. </w:t>
            </w:r>
          </w:p>
        </w:tc>
        <w:tc>
          <w:tcPr>
            <w:tcW w:w="3279" w:type="dxa"/>
            <w:tcBorders>
              <w:top w:val="nil"/>
              <w:left w:val="nil"/>
              <w:bottom w:val="single" w:sz="4" w:space="0" w:color="000000"/>
              <w:right w:val="single" w:sz="8" w:space="0" w:color="000000"/>
            </w:tcBorders>
            <w:vAlign w:val="center"/>
            <w:hideMark/>
          </w:tcPr>
          <w:p w14:paraId="6C1E2BE1" w14:textId="77777777" w:rsidR="009632F5" w:rsidRPr="00221B5E" w:rsidRDefault="009632F5">
            <w:pPr>
              <w:rPr>
                <w:sz w:val="20"/>
                <w:szCs w:val="20"/>
              </w:rPr>
            </w:pPr>
            <w:r w:rsidRPr="00221B5E">
              <w:rPr>
                <w:sz w:val="20"/>
                <w:szCs w:val="20"/>
              </w:rPr>
              <w:t xml:space="preserve">Turska </w:t>
            </w:r>
          </w:p>
        </w:tc>
        <w:tc>
          <w:tcPr>
            <w:tcW w:w="1750" w:type="dxa"/>
            <w:tcBorders>
              <w:top w:val="nil"/>
              <w:left w:val="nil"/>
              <w:bottom w:val="single" w:sz="4" w:space="0" w:color="000000"/>
              <w:right w:val="double" w:sz="6" w:space="0" w:color="000000"/>
            </w:tcBorders>
            <w:vAlign w:val="center"/>
            <w:hideMark/>
          </w:tcPr>
          <w:p w14:paraId="5C863944" w14:textId="77777777" w:rsidR="009632F5" w:rsidRPr="00221B5E" w:rsidRDefault="009632F5">
            <w:pPr>
              <w:jc w:val="center"/>
              <w:rPr>
                <w:sz w:val="20"/>
                <w:szCs w:val="20"/>
              </w:rPr>
            </w:pPr>
            <w:r w:rsidRPr="00221B5E">
              <w:rPr>
                <w:sz w:val="20"/>
                <w:szCs w:val="20"/>
              </w:rPr>
              <w:t>378</w:t>
            </w:r>
          </w:p>
        </w:tc>
        <w:tc>
          <w:tcPr>
            <w:tcW w:w="1750" w:type="dxa"/>
            <w:tcBorders>
              <w:top w:val="nil"/>
              <w:left w:val="nil"/>
              <w:bottom w:val="single" w:sz="4" w:space="0" w:color="000000"/>
              <w:right w:val="single" w:sz="8" w:space="0" w:color="000000"/>
            </w:tcBorders>
            <w:vAlign w:val="center"/>
            <w:hideMark/>
          </w:tcPr>
          <w:p w14:paraId="244FE083" w14:textId="77777777" w:rsidR="009632F5" w:rsidRPr="00221B5E" w:rsidRDefault="009632F5">
            <w:pPr>
              <w:jc w:val="center"/>
              <w:rPr>
                <w:sz w:val="20"/>
                <w:szCs w:val="20"/>
              </w:rPr>
            </w:pPr>
            <w:r w:rsidRPr="00221B5E">
              <w:rPr>
                <w:sz w:val="20"/>
                <w:szCs w:val="20"/>
              </w:rPr>
              <w:t>331</w:t>
            </w:r>
          </w:p>
        </w:tc>
        <w:tc>
          <w:tcPr>
            <w:tcW w:w="1777" w:type="dxa"/>
            <w:tcBorders>
              <w:top w:val="nil"/>
              <w:left w:val="nil"/>
              <w:bottom w:val="single" w:sz="4" w:space="0" w:color="000000"/>
              <w:right w:val="single" w:sz="8" w:space="0" w:color="000000"/>
            </w:tcBorders>
            <w:shd w:val="clear" w:color="auto" w:fill="D9D9D9"/>
            <w:vAlign w:val="center"/>
            <w:hideMark/>
          </w:tcPr>
          <w:p w14:paraId="2764D044" w14:textId="77777777" w:rsidR="009632F5" w:rsidRPr="00221B5E" w:rsidRDefault="009632F5">
            <w:pPr>
              <w:jc w:val="center"/>
              <w:rPr>
                <w:sz w:val="20"/>
                <w:szCs w:val="20"/>
              </w:rPr>
            </w:pPr>
            <w:r w:rsidRPr="00221B5E">
              <w:rPr>
                <w:sz w:val="20"/>
                <w:szCs w:val="20"/>
              </w:rPr>
              <w:t>-12,43</w:t>
            </w:r>
          </w:p>
        </w:tc>
      </w:tr>
      <w:tr w:rsidR="009632F5" w14:paraId="365D2D8A"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681B6A88" w14:textId="77777777" w:rsidR="009632F5" w:rsidRPr="00221B5E" w:rsidRDefault="009632F5">
            <w:pPr>
              <w:jc w:val="center"/>
              <w:rPr>
                <w:sz w:val="20"/>
                <w:szCs w:val="20"/>
              </w:rPr>
            </w:pPr>
            <w:r w:rsidRPr="00221B5E">
              <w:rPr>
                <w:sz w:val="20"/>
                <w:szCs w:val="20"/>
              </w:rPr>
              <w:t xml:space="preserve">3. </w:t>
            </w:r>
          </w:p>
        </w:tc>
        <w:tc>
          <w:tcPr>
            <w:tcW w:w="3279" w:type="dxa"/>
            <w:tcBorders>
              <w:top w:val="nil"/>
              <w:left w:val="nil"/>
              <w:bottom w:val="single" w:sz="4" w:space="0" w:color="000000"/>
              <w:right w:val="single" w:sz="8" w:space="0" w:color="000000"/>
            </w:tcBorders>
            <w:vAlign w:val="center"/>
            <w:hideMark/>
          </w:tcPr>
          <w:p w14:paraId="7ED2C688" w14:textId="77777777" w:rsidR="009632F5" w:rsidRPr="00221B5E" w:rsidRDefault="009632F5">
            <w:pPr>
              <w:rPr>
                <w:sz w:val="20"/>
                <w:szCs w:val="20"/>
              </w:rPr>
            </w:pPr>
            <w:r w:rsidRPr="00221B5E">
              <w:rPr>
                <w:sz w:val="20"/>
                <w:szCs w:val="20"/>
              </w:rPr>
              <w:t xml:space="preserve">Hrvatska </w:t>
            </w:r>
          </w:p>
        </w:tc>
        <w:tc>
          <w:tcPr>
            <w:tcW w:w="1750" w:type="dxa"/>
            <w:tcBorders>
              <w:top w:val="nil"/>
              <w:left w:val="nil"/>
              <w:bottom w:val="single" w:sz="4" w:space="0" w:color="000000"/>
              <w:right w:val="double" w:sz="6" w:space="0" w:color="000000"/>
            </w:tcBorders>
            <w:vAlign w:val="center"/>
            <w:hideMark/>
          </w:tcPr>
          <w:p w14:paraId="77175B85" w14:textId="77777777" w:rsidR="009632F5" w:rsidRPr="00221B5E" w:rsidRDefault="009632F5">
            <w:pPr>
              <w:jc w:val="center"/>
              <w:rPr>
                <w:sz w:val="20"/>
                <w:szCs w:val="20"/>
              </w:rPr>
            </w:pPr>
            <w:r w:rsidRPr="00221B5E">
              <w:rPr>
                <w:sz w:val="20"/>
                <w:szCs w:val="20"/>
              </w:rPr>
              <w:t>162</w:t>
            </w:r>
          </w:p>
        </w:tc>
        <w:tc>
          <w:tcPr>
            <w:tcW w:w="1750" w:type="dxa"/>
            <w:tcBorders>
              <w:top w:val="nil"/>
              <w:left w:val="nil"/>
              <w:bottom w:val="single" w:sz="4" w:space="0" w:color="000000"/>
              <w:right w:val="single" w:sz="8" w:space="0" w:color="000000"/>
            </w:tcBorders>
            <w:vAlign w:val="center"/>
            <w:hideMark/>
          </w:tcPr>
          <w:p w14:paraId="561EF0EE" w14:textId="77777777" w:rsidR="009632F5" w:rsidRPr="00221B5E" w:rsidRDefault="009632F5">
            <w:pPr>
              <w:jc w:val="center"/>
              <w:rPr>
                <w:sz w:val="20"/>
                <w:szCs w:val="20"/>
              </w:rPr>
            </w:pPr>
            <w:r w:rsidRPr="00221B5E">
              <w:rPr>
                <w:sz w:val="20"/>
                <w:szCs w:val="20"/>
              </w:rPr>
              <w:t>170</w:t>
            </w:r>
          </w:p>
        </w:tc>
        <w:tc>
          <w:tcPr>
            <w:tcW w:w="1777" w:type="dxa"/>
            <w:tcBorders>
              <w:top w:val="nil"/>
              <w:left w:val="nil"/>
              <w:bottom w:val="single" w:sz="4" w:space="0" w:color="000000"/>
              <w:right w:val="single" w:sz="8" w:space="0" w:color="000000"/>
            </w:tcBorders>
            <w:shd w:val="clear" w:color="auto" w:fill="D9D9D9"/>
            <w:vAlign w:val="center"/>
            <w:hideMark/>
          </w:tcPr>
          <w:p w14:paraId="7C0DBEC9" w14:textId="77777777" w:rsidR="009632F5" w:rsidRPr="00221B5E" w:rsidRDefault="009632F5">
            <w:pPr>
              <w:jc w:val="center"/>
              <w:rPr>
                <w:sz w:val="20"/>
                <w:szCs w:val="20"/>
              </w:rPr>
            </w:pPr>
            <w:r w:rsidRPr="00221B5E">
              <w:rPr>
                <w:sz w:val="20"/>
                <w:szCs w:val="20"/>
              </w:rPr>
              <w:t>4,94</w:t>
            </w:r>
          </w:p>
        </w:tc>
      </w:tr>
      <w:tr w:rsidR="009632F5" w14:paraId="48D93BA9"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FA8DF2D" w14:textId="77777777" w:rsidR="009632F5" w:rsidRPr="00221B5E" w:rsidRDefault="009632F5">
            <w:pPr>
              <w:jc w:val="center"/>
              <w:rPr>
                <w:sz w:val="20"/>
                <w:szCs w:val="20"/>
              </w:rPr>
            </w:pPr>
            <w:r w:rsidRPr="00221B5E">
              <w:rPr>
                <w:sz w:val="20"/>
                <w:szCs w:val="20"/>
              </w:rPr>
              <w:t xml:space="preserve">4. </w:t>
            </w:r>
          </w:p>
        </w:tc>
        <w:tc>
          <w:tcPr>
            <w:tcW w:w="3279" w:type="dxa"/>
            <w:tcBorders>
              <w:top w:val="nil"/>
              <w:left w:val="nil"/>
              <w:bottom w:val="single" w:sz="4" w:space="0" w:color="000000"/>
              <w:right w:val="single" w:sz="8" w:space="0" w:color="000000"/>
            </w:tcBorders>
            <w:vAlign w:val="center"/>
            <w:hideMark/>
          </w:tcPr>
          <w:p w14:paraId="7C86853B" w14:textId="77777777" w:rsidR="009632F5" w:rsidRPr="00221B5E" w:rsidRDefault="009632F5">
            <w:pPr>
              <w:rPr>
                <w:sz w:val="20"/>
                <w:szCs w:val="20"/>
              </w:rPr>
            </w:pPr>
            <w:r w:rsidRPr="00221B5E">
              <w:rPr>
                <w:sz w:val="20"/>
                <w:szCs w:val="20"/>
              </w:rPr>
              <w:t xml:space="preserve">Kina </w:t>
            </w:r>
          </w:p>
        </w:tc>
        <w:tc>
          <w:tcPr>
            <w:tcW w:w="1750" w:type="dxa"/>
            <w:tcBorders>
              <w:top w:val="nil"/>
              <w:left w:val="nil"/>
              <w:bottom w:val="single" w:sz="4" w:space="0" w:color="000000"/>
              <w:right w:val="double" w:sz="6" w:space="0" w:color="000000"/>
            </w:tcBorders>
            <w:vAlign w:val="center"/>
            <w:hideMark/>
          </w:tcPr>
          <w:p w14:paraId="4FB21800" w14:textId="77777777" w:rsidR="009632F5" w:rsidRPr="00221B5E" w:rsidRDefault="009632F5">
            <w:pPr>
              <w:jc w:val="center"/>
              <w:rPr>
                <w:sz w:val="20"/>
                <w:szCs w:val="20"/>
              </w:rPr>
            </w:pPr>
            <w:r w:rsidRPr="00221B5E">
              <w:rPr>
                <w:sz w:val="20"/>
                <w:szCs w:val="20"/>
              </w:rPr>
              <w:t>130</w:t>
            </w:r>
          </w:p>
        </w:tc>
        <w:tc>
          <w:tcPr>
            <w:tcW w:w="1750" w:type="dxa"/>
            <w:tcBorders>
              <w:top w:val="nil"/>
              <w:left w:val="nil"/>
              <w:bottom w:val="single" w:sz="4" w:space="0" w:color="000000"/>
              <w:right w:val="single" w:sz="8" w:space="0" w:color="000000"/>
            </w:tcBorders>
            <w:vAlign w:val="center"/>
            <w:hideMark/>
          </w:tcPr>
          <w:p w14:paraId="7E4FA3AB" w14:textId="77777777" w:rsidR="009632F5" w:rsidRPr="00221B5E" w:rsidRDefault="009632F5">
            <w:pPr>
              <w:jc w:val="center"/>
              <w:rPr>
                <w:sz w:val="20"/>
                <w:szCs w:val="20"/>
              </w:rPr>
            </w:pPr>
            <w:r w:rsidRPr="00221B5E">
              <w:rPr>
                <w:sz w:val="20"/>
                <w:szCs w:val="20"/>
              </w:rPr>
              <w:t>147</w:t>
            </w:r>
          </w:p>
        </w:tc>
        <w:tc>
          <w:tcPr>
            <w:tcW w:w="1777" w:type="dxa"/>
            <w:tcBorders>
              <w:top w:val="nil"/>
              <w:left w:val="nil"/>
              <w:bottom w:val="single" w:sz="4" w:space="0" w:color="000000"/>
              <w:right w:val="single" w:sz="8" w:space="0" w:color="000000"/>
            </w:tcBorders>
            <w:shd w:val="clear" w:color="auto" w:fill="D9D9D9"/>
            <w:vAlign w:val="center"/>
            <w:hideMark/>
          </w:tcPr>
          <w:p w14:paraId="5046D7FF" w14:textId="77777777" w:rsidR="009632F5" w:rsidRPr="00221B5E" w:rsidRDefault="009632F5">
            <w:pPr>
              <w:jc w:val="center"/>
              <w:rPr>
                <w:sz w:val="20"/>
                <w:szCs w:val="20"/>
              </w:rPr>
            </w:pPr>
            <w:r w:rsidRPr="00221B5E">
              <w:rPr>
                <w:sz w:val="20"/>
                <w:szCs w:val="20"/>
              </w:rPr>
              <w:t>13,08</w:t>
            </w:r>
          </w:p>
        </w:tc>
      </w:tr>
      <w:tr w:rsidR="009632F5" w14:paraId="643F8885"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50D29D0F" w14:textId="77777777" w:rsidR="009632F5" w:rsidRPr="00221B5E" w:rsidRDefault="009632F5">
            <w:pPr>
              <w:jc w:val="center"/>
              <w:rPr>
                <w:sz w:val="20"/>
                <w:szCs w:val="20"/>
              </w:rPr>
            </w:pPr>
            <w:r w:rsidRPr="00221B5E">
              <w:rPr>
                <w:sz w:val="20"/>
                <w:szCs w:val="20"/>
              </w:rPr>
              <w:t xml:space="preserve">5. </w:t>
            </w:r>
          </w:p>
        </w:tc>
        <w:tc>
          <w:tcPr>
            <w:tcW w:w="3279" w:type="dxa"/>
            <w:tcBorders>
              <w:top w:val="nil"/>
              <w:left w:val="nil"/>
              <w:bottom w:val="single" w:sz="4" w:space="0" w:color="000000"/>
              <w:right w:val="single" w:sz="8" w:space="0" w:color="000000"/>
            </w:tcBorders>
            <w:vAlign w:val="center"/>
            <w:hideMark/>
          </w:tcPr>
          <w:p w14:paraId="3AE01A0C" w14:textId="77777777" w:rsidR="009632F5" w:rsidRPr="00221B5E" w:rsidRDefault="009632F5">
            <w:pPr>
              <w:rPr>
                <w:sz w:val="20"/>
                <w:szCs w:val="20"/>
              </w:rPr>
            </w:pPr>
            <w:r w:rsidRPr="00221B5E">
              <w:rPr>
                <w:sz w:val="20"/>
                <w:szCs w:val="20"/>
              </w:rPr>
              <w:t>Egipat</w:t>
            </w:r>
          </w:p>
        </w:tc>
        <w:tc>
          <w:tcPr>
            <w:tcW w:w="1750" w:type="dxa"/>
            <w:tcBorders>
              <w:top w:val="nil"/>
              <w:left w:val="nil"/>
              <w:bottom w:val="single" w:sz="4" w:space="0" w:color="000000"/>
              <w:right w:val="double" w:sz="6" w:space="0" w:color="000000"/>
            </w:tcBorders>
            <w:vAlign w:val="center"/>
            <w:hideMark/>
          </w:tcPr>
          <w:p w14:paraId="425410C8" w14:textId="77777777" w:rsidR="009632F5" w:rsidRPr="00221B5E" w:rsidRDefault="009632F5">
            <w:pPr>
              <w:jc w:val="center"/>
              <w:rPr>
                <w:sz w:val="20"/>
                <w:szCs w:val="20"/>
              </w:rPr>
            </w:pPr>
            <w:r w:rsidRPr="00221B5E">
              <w:rPr>
                <w:sz w:val="20"/>
                <w:szCs w:val="20"/>
              </w:rPr>
              <w:t>88</w:t>
            </w:r>
          </w:p>
        </w:tc>
        <w:tc>
          <w:tcPr>
            <w:tcW w:w="1750" w:type="dxa"/>
            <w:tcBorders>
              <w:top w:val="nil"/>
              <w:left w:val="nil"/>
              <w:bottom w:val="single" w:sz="4" w:space="0" w:color="000000"/>
              <w:right w:val="single" w:sz="8" w:space="0" w:color="000000"/>
            </w:tcBorders>
            <w:vAlign w:val="center"/>
            <w:hideMark/>
          </w:tcPr>
          <w:p w14:paraId="2E149B01" w14:textId="77777777" w:rsidR="009632F5" w:rsidRPr="00221B5E" w:rsidRDefault="009632F5">
            <w:pPr>
              <w:jc w:val="center"/>
              <w:rPr>
                <w:sz w:val="20"/>
                <w:szCs w:val="20"/>
              </w:rPr>
            </w:pPr>
            <w:r w:rsidRPr="00221B5E">
              <w:rPr>
                <w:sz w:val="20"/>
                <w:szCs w:val="20"/>
              </w:rPr>
              <w:t>116</w:t>
            </w:r>
          </w:p>
        </w:tc>
        <w:tc>
          <w:tcPr>
            <w:tcW w:w="1777" w:type="dxa"/>
            <w:tcBorders>
              <w:top w:val="nil"/>
              <w:left w:val="nil"/>
              <w:bottom w:val="single" w:sz="4" w:space="0" w:color="000000"/>
              <w:right w:val="single" w:sz="8" w:space="0" w:color="000000"/>
            </w:tcBorders>
            <w:shd w:val="clear" w:color="auto" w:fill="D9D9D9"/>
            <w:vAlign w:val="center"/>
            <w:hideMark/>
          </w:tcPr>
          <w:p w14:paraId="678B40BD" w14:textId="77777777" w:rsidR="009632F5" w:rsidRPr="00221B5E" w:rsidRDefault="009632F5">
            <w:pPr>
              <w:jc w:val="center"/>
              <w:rPr>
                <w:sz w:val="20"/>
                <w:szCs w:val="20"/>
              </w:rPr>
            </w:pPr>
            <w:r w:rsidRPr="00221B5E">
              <w:rPr>
                <w:sz w:val="20"/>
                <w:szCs w:val="20"/>
              </w:rPr>
              <w:t>31,82</w:t>
            </w:r>
          </w:p>
        </w:tc>
      </w:tr>
      <w:tr w:rsidR="009632F5" w14:paraId="1E9014C2"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74654BCD" w14:textId="77777777" w:rsidR="009632F5" w:rsidRPr="00221B5E" w:rsidRDefault="009632F5">
            <w:pPr>
              <w:jc w:val="center"/>
              <w:rPr>
                <w:sz w:val="20"/>
                <w:szCs w:val="20"/>
              </w:rPr>
            </w:pPr>
            <w:r w:rsidRPr="00221B5E">
              <w:rPr>
                <w:sz w:val="20"/>
                <w:szCs w:val="20"/>
              </w:rPr>
              <w:t xml:space="preserve">6. </w:t>
            </w:r>
          </w:p>
        </w:tc>
        <w:tc>
          <w:tcPr>
            <w:tcW w:w="3279" w:type="dxa"/>
            <w:tcBorders>
              <w:top w:val="nil"/>
              <w:left w:val="nil"/>
              <w:bottom w:val="single" w:sz="4" w:space="0" w:color="000000"/>
              <w:right w:val="single" w:sz="8" w:space="0" w:color="000000"/>
            </w:tcBorders>
            <w:vAlign w:val="center"/>
            <w:hideMark/>
          </w:tcPr>
          <w:p w14:paraId="6D19F07B" w14:textId="77777777" w:rsidR="009632F5" w:rsidRPr="00221B5E" w:rsidRDefault="009632F5">
            <w:pPr>
              <w:rPr>
                <w:sz w:val="20"/>
                <w:szCs w:val="20"/>
              </w:rPr>
            </w:pPr>
            <w:r w:rsidRPr="00221B5E">
              <w:rPr>
                <w:sz w:val="20"/>
                <w:szCs w:val="20"/>
              </w:rPr>
              <w:t>Kuvajt</w:t>
            </w:r>
          </w:p>
        </w:tc>
        <w:tc>
          <w:tcPr>
            <w:tcW w:w="1750" w:type="dxa"/>
            <w:tcBorders>
              <w:top w:val="nil"/>
              <w:left w:val="nil"/>
              <w:bottom w:val="single" w:sz="4" w:space="0" w:color="000000"/>
              <w:right w:val="double" w:sz="6" w:space="0" w:color="000000"/>
            </w:tcBorders>
            <w:vAlign w:val="center"/>
            <w:hideMark/>
          </w:tcPr>
          <w:p w14:paraId="172B8603" w14:textId="77777777" w:rsidR="009632F5" w:rsidRPr="00221B5E" w:rsidRDefault="009632F5">
            <w:pPr>
              <w:jc w:val="center"/>
              <w:rPr>
                <w:sz w:val="20"/>
                <w:szCs w:val="20"/>
              </w:rPr>
            </w:pPr>
            <w:r w:rsidRPr="00221B5E">
              <w:rPr>
                <w:sz w:val="20"/>
                <w:szCs w:val="20"/>
              </w:rPr>
              <w:t>110</w:t>
            </w:r>
          </w:p>
        </w:tc>
        <w:tc>
          <w:tcPr>
            <w:tcW w:w="1750" w:type="dxa"/>
            <w:tcBorders>
              <w:top w:val="nil"/>
              <w:left w:val="nil"/>
              <w:bottom w:val="single" w:sz="4" w:space="0" w:color="000000"/>
              <w:right w:val="single" w:sz="8" w:space="0" w:color="000000"/>
            </w:tcBorders>
            <w:vAlign w:val="center"/>
            <w:hideMark/>
          </w:tcPr>
          <w:p w14:paraId="7BC0E725" w14:textId="77777777" w:rsidR="009632F5" w:rsidRPr="00221B5E" w:rsidRDefault="009632F5">
            <w:pPr>
              <w:jc w:val="center"/>
              <w:rPr>
                <w:sz w:val="20"/>
                <w:szCs w:val="20"/>
              </w:rPr>
            </w:pPr>
            <w:r w:rsidRPr="00221B5E">
              <w:rPr>
                <w:sz w:val="20"/>
                <w:szCs w:val="20"/>
              </w:rPr>
              <w:t>114</w:t>
            </w:r>
          </w:p>
        </w:tc>
        <w:tc>
          <w:tcPr>
            <w:tcW w:w="1777" w:type="dxa"/>
            <w:tcBorders>
              <w:top w:val="nil"/>
              <w:left w:val="nil"/>
              <w:bottom w:val="single" w:sz="4" w:space="0" w:color="000000"/>
              <w:right w:val="single" w:sz="8" w:space="0" w:color="000000"/>
            </w:tcBorders>
            <w:shd w:val="clear" w:color="auto" w:fill="D9D9D9"/>
            <w:vAlign w:val="center"/>
            <w:hideMark/>
          </w:tcPr>
          <w:p w14:paraId="32707047" w14:textId="77777777" w:rsidR="009632F5" w:rsidRPr="00221B5E" w:rsidRDefault="009632F5">
            <w:pPr>
              <w:jc w:val="center"/>
              <w:rPr>
                <w:sz w:val="20"/>
                <w:szCs w:val="20"/>
              </w:rPr>
            </w:pPr>
            <w:r w:rsidRPr="00221B5E">
              <w:rPr>
                <w:sz w:val="20"/>
                <w:szCs w:val="20"/>
              </w:rPr>
              <w:t>3,64</w:t>
            </w:r>
          </w:p>
        </w:tc>
      </w:tr>
      <w:tr w:rsidR="009632F5" w14:paraId="7B3BF82B"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18791C76" w14:textId="77777777" w:rsidR="009632F5" w:rsidRPr="00221B5E" w:rsidRDefault="009632F5">
            <w:pPr>
              <w:jc w:val="center"/>
              <w:rPr>
                <w:sz w:val="20"/>
                <w:szCs w:val="20"/>
              </w:rPr>
            </w:pPr>
            <w:r w:rsidRPr="00221B5E">
              <w:rPr>
                <w:sz w:val="20"/>
                <w:szCs w:val="20"/>
              </w:rPr>
              <w:t>7.</w:t>
            </w:r>
          </w:p>
        </w:tc>
        <w:tc>
          <w:tcPr>
            <w:tcW w:w="3279" w:type="dxa"/>
            <w:tcBorders>
              <w:top w:val="nil"/>
              <w:left w:val="nil"/>
              <w:bottom w:val="single" w:sz="4" w:space="0" w:color="000000"/>
              <w:right w:val="single" w:sz="8" w:space="0" w:color="000000"/>
            </w:tcBorders>
            <w:vAlign w:val="center"/>
            <w:hideMark/>
          </w:tcPr>
          <w:p w14:paraId="7945A75E" w14:textId="77777777" w:rsidR="009632F5" w:rsidRPr="00221B5E" w:rsidRDefault="009632F5">
            <w:pPr>
              <w:rPr>
                <w:sz w:val="20"/>
                <w:szCs w:val="20"/>
              </w:rPr>
            </w:pPr>
            <w:r w:rsidRPr="00221B5E">
              <w:rPr>
                <w:sz w:val="20"/>
                <w:szCs w:val="20"/>
              </w:rPr>
              <w:t xml:space="preserve">Italija </w:t>
            </w:r>
          </w:p>
        </w:tc>
        <w:tc>
          <w:tcPr>
            <w:tcW w:w="1750" w:type="dxa"/>
            <w:tcBorders>
              <w:top w:val="nil"/>
              <w:left w:val="nil"/>
              <w:bottom w:val="single" w:sz="4" w:space="0" w:color="000000"/>
              <w:right w:val="double" w:sz="6" w:space="0" w:color="000000"/>
            </w:tcBorders>
            <w:vAlign w:val="center"/>
            <w:hideMark/>
          </w:tcPr>
          <w:p w14:paraId="0032AC73" w14:textId="77777777" w:rsidR="009632F5" w:rsidRPr="00221B5E" w:rsidRDefault="009632F5">
            <w:pPr>
              <w:jc w:val="center"/>
              <w:rPr>
                <w:sz w:val="20"/>
                <w:szCs w:val="20"/>
              </w:rPr>
            </w:pPr>
            <w:r w:rsidRPr="00221B5E">
              <w:rPr>
                <w:sz w:val="20"/>
                <w:szCs w:val="20"/>
              </w:rPr>
              <w:t>98</w:t>
            </w:r>
          </w:p>
        </w:tc>
        <w:tc>
          <w:tcPr>
            <w:tcW w:w="1750" w:type="dxa"/>
            <w:tcBorders>
              <w:top w:val="nil"/>
              <w:left w:val="nil"/>
              <w:bottom w:val="single" w:sz="4" w:space="0" w:color="000000"/>
              <w:right w:val="single" w:sz="8" w:space="0" w:color="000000"/>
            </w:tcBorders>
            <w:vAlign w:val="center"/>
            <w:hideMark/>
          </w:tcPr>
          <w:p w14:paraId="330E6F73" w14:textId="77777777" w:rsidR="009632F5" w:rsidRPr="00221B5E" w:rsidRDefault="009632F5">
            <w:pPr>
              <w:jc w:val="center"/>
              <w:rPr>
                <w:sz w:val="20"/>
                <w:szCs w:val="20"/>
              </w:rPr>
            </w:pPr>
            <w:r w:rsidRPr="00221B5E">
              <w:rPr>
                <w:sz w:val="20"/>
                <w:szCs w:val="20"/>
              </w:rPr>
              <w:t>110</w:t>
            </w:r>
          </w:p>
        </w:tc>
        <w:tc>
          <w:tcPr>
            <w:tcW w:w="1777" w:type="dxa"/>
            <w:tcBorders>
              <w:top w:val="nil"/>
              <w:left w:val="nil"/>
              <w:bottom w:val="single" w:sz="4" w:space="0" w:color="000000"/>
              <w:right w:val="single" w:sz="8" w:space="0" w:color="000000"/>
            </w:tcBorders>
            <w:shd w:val="clear" w:color="auto" w:fill="D9D9D9"/>
            <w:vAlign w:val="center"/>
            <w:hideMark/>
          </w:tcPr>
          <w:p w14:paraId="4BD6670B" w14:textId="77777777" w:rsidR="009632F5" w:rsidRPr="00221B5E" w:rsidRDefault="009632F5">
            <w:pPr>
              <w:jc w:val="center"/>
              <w:rPr>
                <w:sz w:val="20"/>
                <w:szCs w:val="20"/>
              </w:rPr>
            </w:pPr>
            <w:r w:rsidRPr="00221B5E">
              <w:rPr>
                <w:sz w:val="20"/>
                <w:szCs w:val="20"/>
              </w:rPr>
              <w:t>12,24</w:t>
            </w:r>
          </w:p>
        </w:tc>
      </w:tr>
      <w:tr w:rsidR="009632F5" w14:paraId="01195283"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6AC8E65" w14:textId="77777777" w:rsidR="009632F5" w:rsidRPr="00221B5E" w:rsidRDefault="009632F5">
            <w:pPr>
              <w:jc w:val="center"/>
              <w:rPr>
                <w:sz w:val="20"/>
                <w:szCs w:val="20"/>
              </w:rPr>
            </w:pPr>
            <w:r w:rsidRPr="00221B5E">
              <w:rPr>
                <w:sz w:val="20"/>
                <w:szCs w:val="20"/>
              </w:rPr>
              <w:t>8.</w:t>
            </w:r>
          </w:p>
        </w:tc>
        <w:tc>
          <w:tcPr>
            <w:tcW w:w="3279" w:type="dxa"/>
            <w:tcBorders>
              <w:top w:val="nil"/>
              <w:left w:val="nil"/>
              <w:bottom w:val="single" w:sz="4" w:space="0" w:color="000000"/>
              <w:right w:val="single" w:sz="8" w:space="0" w:color="000000"/>
            </w:tcBorders>
            <w:vAlign w:val="center"/>
            <w:hideMark/>
          </w:tcPr>
          <w:p w14:paraId="64DF8D6F" w14:textId="77777777" w:rsidR="009632F5" w:rsidRPr="00221B5E" w:rsidRDefault="009632F5">
            <w:pPr>
              <w:rPr>
                <w:sz w:val="20"/>
                <w:szCs w:val="20"/>
              </w:rPr>
            </w:pPr>
            <w:r w:rsidRPr="00221B5E">
              <w:rPr>
                <w:sz w:val="20"/>
                <w:szCs w:val="20"/>
              </w:rPr>
              <w:t>Sirija</w:t>
            </w:r>
          </w:p>
        </w:tc>
        <w:tc>
          <w:tcPr>
            <w:tcW w:w="1750" w:type="dxa"/>
            <w:tcBorders>
              <w:top w:val="nil"/>
              <w:left w:val="nil"/>
              <w:bottom w:val="single" w:sz="4" w:space="0" w:color="000000"/>
              <w:right w:val="double" w:sz="6" w:space="0" w:color="000000"/>
            </w:tcBorders>
            <w:vAlign w:val="center"/>
            <w:hideMark/>
          </w:tcPr>
          <w:p w14:paraId="6F41C5DF" w14:textId="77777777" w:rsidR="009632F5" w:rsidRPr="00221B5E" w:rsidRDefault="009632F5">
            <w:pPr>
              <w:jc w:val="center"/>
              <w:rPr>
                <w:sz w:val="20"/>
                <w:szCs w:val="20"/>
              </w:rPr>
            </w:pPr>
            <w:r w:rsidRPr="00221B5E">
              <w:rPr>
                <w:sz w:val="20"/>
                <w:szCs w:val="20"/>
              </w:rPr>
              <w:t>95</w:t>
            </w:r>
          </w:p>
        </w:tc>
        <w:tc>
          <w:tcPr>
            <w:tcW w:w="1750" w:type="dxa"/>
            <w:tcBorders>
              <w:top w:val="nil"/>
              <w:left w:val="nil"/>
              <w:bottom w:val="single" w:sz="4" w:space="0" w:color="000000"/>
              <w:right w:val="single" w:sz="8" w:space="0" w:color="000000"/>
            </w:tcBorders>
            <w:vAlign w:val="center"/>
            <w:hideMark/>
          </w:tcPr>
          <w:p w14:paraId="4950E117" w14:textId="77777777" w:rsidR="009632F5" w:rsidRPr="00221B5E" w:rsidRDefault="009632F5">
            <w:pPr>
              <w:jc w:val="center"/>
              <w:rPr>
                <w:sz w:val="20"/>
                <w:szCs w:val="20"/>
              </w:rPr>
            </w:pPr>
            <w:r w:rsidRPr="00221B5E">
              <w:rPr>
                <w:sz w:val="20"/>
                <w:szCs w:val="20"/>
              </w:rPr>
              <w:t>94</w:t>
            </w:r>
          </w:p>
        </w:tc>
        <w:tc>
          <w:tcPr>
            <w:tcW w:w="1777" w:type="dxa"/>
            <w:tcBorders>
              <w:top w:val="nil"/>
              <w:left w:val="nil"/>
              <w:bottom w:val="single" w:sz="4" w:space="0" w:color="000000"/>
              <w:right w:val="single" w:sz="8" w:space="0" w:color="000000"/>
            </w:tcBorders>
            <w:shd w:val="clear" w:color="auto" w:fill="D9D9D9"/>
            <w:vAlign w:val="center"/>
            <w:hideMark/>
          </w:tcPr>
          <w:p w14:paraId="3ED80A8B" w14:textId="77777777" w:rsidR="009632F5" w:rsidRPr="00221B5E" w:rsidRDefault="009632F5">
            <w:pPr>
              <w:jc w:val="center"/>
              <w:rPr>
                <w:sz w:val="20"/>
                <w:szCs w:val="20"/>
              </w:rPr>
            </w:pPr>
            <w:r w:rsidRPr="00221B5E">
              <w:rPr>
                <w:sz w:val="20"/>
                <w:szCs w:val="20"/>
              </w:rPr>
              <w:t>-1,05</w:t>
            </w:r>
          </w:p>
        </w:tc>
      </w:tr>
      <w:tr w:rsidR="009632F5" w14:paraId="63C247ED"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437F212A" w14:textId="77777777" w:rsidR="009632F5" w:rsidRPr="00221B5E" w:rsidRDefault="009632F5">
            <w:pPr>
              <w:jc w:val="center"/>
              <w:rPr>
                <w:sz w:val="20"/>
                <w:szCs w:val="20"/>
              </w:rPr>
            </w:pPr>
            <w:r w:rsidRPr="00221B5E">
              <w:rPr>
                <w:sz w:val="20"/>
                <w:szCs w:val="20"/>
              </w:rPr>
              <w:t>9.</w:t>
            </w:r>
          </w:p>
        </w:tc>
        <w:tc>
          <w:tcPr>
            <w:tcW w:w="3279" w:type="dxa"/>
            <w:tcBorders>
              <w:top w:val="nil"/>
              <w:left w:val="nil"/>
              <w:bottom w:val="single" w:sz="4" w:space="0" w:color="000000"/>
              <w:right w:val="single" w:sz="8" w:space="0" w:color="000000"/>
            </w:tcBorders>
            <w:vAlign w:val="center"/>
            <w:hideMark/>
          </w:tcPr>
          <w:p w14:paraId="7F281D39" w14:textId="77777777" w:rsidR="009632F5" w:rsidRPr="00221B5E" w:rsidRDefault="009632F5">
            <w:pPr>
              <w:rPr>
                <w:sz w:val="20"/>
                <w:szCs w:val="20"/>
              </w:rPr>
            </w:pPr>
            <w:r w:rsidRPr="00221B5E">
              <w:rPr>
                <w:sz w:val="20"/>
                <w:szCs w:val="20"/>
              </w:rPr>
              <w:t>Saudijska Arabija</w:t>
            </w:r>
          </w:p>
        </w:tc>
        <w:tc>
          <w:tcPr>
            <w:tcW w:w="1750" w:type="dxa"/>
            <w:tcBorders>
              <w:top w:val="nil"/>
              <w:left w:val="nil"/>
              <w:bottom w:val="single" w:sz="4" w:space="0" w:color="000000"/>
              <w:right w:val="double" w:sz="6" w:space="0" w:color="000000"/>
            </w:tcBorders>
            <w:vAlign w:val="center"/>
            <w:hideMark/>
          </w:tcPr>
          <w:p w14:paraId="40F61EA0" w14:textId="77777777" w:rsidR="009632F5" w:rsidRPr="00221B5E" w:rsidRDefault="009632F5">
            <w:pPr>
              <w:jc w:val="center"/>
              <w:rPr>
                <w:sz w:val="20"/>
                <w:szCs w:val="20"/>
              </w:rPr>
            </w:pPr>
            <w:r w:rsidRPr="00221B5E">
              <w:rPr>
                <w:sz w:val="20"/>
                <w:szCs w:val="20"/>
              </w:rPr>
              <w:t>65</w:t>
            </w:r>
          </w:p>
        </w:tc>
        <w:tc>
          <w:tcPr>
            <w:tcW w:w="1750" w:type="dxa"/>
            <w:tcBorders>
              <w:top w:val="nil"/>
              <w:left w:val="nil"/>
              <w:bottom w:val="single" w:sz="4" w:space="0" w:color="000000"/>
              <w:right w:val="single" w:sz="8" w:space="0" w:color="000000"/>
            </w:tcBorders>
            <w:vAlign w:val="center"/>
            <w:hideMark/>
          </w:tcPr>
          <w:p w14:paraId="3D01B0F9" w14:textId="77777777" w:rsidR="009632F5" w:rsidRPr="00221B5E" w:rsidRDefault="009632F5">
            <w:pPr>
              <w:jc w:val="center"/>
              <w:rPr>
                <w:sz w:val="20"/>
                <w:szCs w:val="20"/>
              </w:rPr>
            </w:pPr>
            <w:r w:rsidRPr="00221B5E">
              <w:rPr>
                <w:sz w:val="20"/>
                <w:szCs w:val="20"/>
              </w:rPr>
              <w:t>87</w:t>
            </w:r>
          </w:p>
        </w:tc>
        <w:tc>
          <w:tcPr>
            <w:tcW w:w="1777" w:type="dxa"/>
            <w:tcBorders>
              <w:top w:val="nil"/>
              <w:left w:val="nil"/>
              <w:bottom w:val="single" w:sz="4" w:space="0" w:color="000000"/>
              <w:right w:val="single" w:sz="8" w:space="0" w:color="000000"/>
            </w:tcBorders>
            <w:shd w:val="clear" w:color="auto" w:fill="D9D9D9"/>
            <w:vAlign w:val="center"/>
            <w:hideMark/>
          </w:tcPr>
          <w:p w14:paraId="04EF19ED" w14:textId="77777777" w:rsidR="009632F5" w:rsidRPr="00221B5E" w:rsidRDefault="009632F5">
            <w:pPr>
              <w:jc w:val="center"/>
              <w:rPr>
                <w:sz w:val="20"/>
                <w:szCs w:val="20"/>
              </w:rPr>
            </w:pPr>
            <w:r w:rsidRPr="00221B5E">
              <w:rPr>
                <w:sz w:val="20"/>
                <w:szCs w:val="20"/>
              </w:rPr>
              <w:t>33,85</w:t>
            </w:r>
          </w:p>
        </w:tc>
      </w:tr>
      <w:tr w:rsidR="009632F5" w14:paraId="655C6906"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F4E3D18" w14:textId="77777777" w:rsidR="009632F5" w:rsidRPr="00221B5E" w:rsidRDefault="009632F5">
            <w:pPr>
              <w:jc w:val="center"/>
              <w:rPr>
                <w:sz w:val="20"/>
                <w:szCs w:val="20"/>
              </w:rPr>
            </w:pPr>
            <w:r w:rsidRPr="00221B5E">
              <w:rPr>
                <w:sz w:val="20"/>
                <w:szCs w:val="20"/>
              </w:rPr>
              <w:t>10.</w:t>
            </w:r>
          </w:p>
        </w:tc>
        <w:tc>
          <w:tcPr>
            <w:tcW w:w="3279" w:type="dxa"/>
            <w:tcBorders>
              <w:top w:val="nil"/>
              <w:left w:val="nil"/>
              <w:bottom w:val="single" w:sz="4" w:space="0" w:color="000000"/>
              <w:right w:val="single" w:sz="8" w:space="0" w:color="000000"/>
            </w:tcBorders>
            <w:vAlign w:val="center"/>
            <w:hideMark/>
          </w:tcPr>
          <w:p w14:paraId="678A8E12" w14:textId="77777777" w:rsidR="009632F5" w:rsidRPr="00221B5E" w:rsidRDefault="009632F5">
            <w:pPr>
              <w:rPr>
                <w:sz w:val="20"/>
                <w:szCs w:val="20"/>
              </w:rPr>
            </w:pPr>
            <w:r w:rsidRPr="00221B5E">
              <w:rPr>
                <w:sz w:val="20"/>
                <w:szCs w:val="20"/>
              </w:rPr>
              <w:t>Crna Gora</w:t>
            </w:r>
          </w:p>
        </w:tc>
        <w:tc>
          <w:tcPr>
            <w:tcW w:w="1750" w:type="dxa"/>
            <w:tcBorders>
              <w:top w:val="nil"/>
              <w:left w:val="nil"/>
              <w:bottom w:val="single" w:sz="4" w:space="0" w:color="000000"/>
              <w:right w:val="double" w:sz="6" w:space="0" w:color="000000"/>
            </w:tcBorders>
            <w:vAlign w:val="center"/>
            <w:hideMark/>
          </w:tcPr>
          <w:p w14:paraId="497925E6" w14:textId="77777777" w:rsidR="009632F5" w:rsidRPr="00221B5E" w:rsidRDefault="009632F5">
            <w:pPr>
              <w:jc w:val="center"/>
              <w:rPr>
                <w:sz w:val="20"/>
                <w:szCs w:val="20"/>
              </w:rPr>
            </w:pPr>
            <w:r w:rsidRPr="00221B5E">
              <w:rPr>
                <w:sz w:val="20"/>
                <w:szCs w:val="20"/>
              </w:rPr>
              <w:t>60</w:t>
            </w:r>
          </w:p>
        </w:tc>
        <w:tc>
          <w:tcPr>
            <w:tcW w:w="1750" w:type="dxa"/>
            <w:tcBorders>
              <w:top w:val="nil"/>
              <w:left w:val="nil"/>
              <w:bottom w:val="single" w:sz="4" w:space="0" w:color="000000"/>
              <w:right w:val="single" w:sz="8" w:space="0" w:color="000000"/>
            </w:tcBorders>
            <w:vAlign w:val="center"/>
            <w:hideMark/>
          </w:tcPr>
          <w:p w14:paraId="47AFCED5" w14:textId="77777777" w:rsidR="009632F5" w:rsidRPr="00221B5E" w:rsidRDefault="009632F5">
            <w:pPr>
              <w:jc w:val="center"/>
              <w:rPr>
                <w:sz w:val="20"/>
                <w:szCs w:val="20"/>
              </w:rPr>
            </w:pPr>
            <w:r w:rsidRPr="00221B5E">
              <w:rPr>
                <w:sz w:val="20"/>
                <w:szCs w:val="20"/>
              </w:rPr>
              <w:t>73</w:t>
            </w:r>
          </w:p>
        </w:tc>
        <w:tc>
          <w:tcPr>
            <w:tcW w:w="1777" w:type="dxa"/>
            <w:tcBorders>
              <w:top w:val="nil"/>
              <w:left w:val="nil"/>
              <w:bottom w:val="single" w:sz="4" w:space="0" w:color="000000"/>
              <w:right w:val="single" w:sz="8" w:space="0" w:color="000000"/>
            </w:tcBorders>
            <w:shd w:val="clear" w:color="auto" w:fill="D9D9D9"/>
            <w:vAlign w:val="center"/>
            <w:hideMark/>
          </w:tcPr>
          <w:p w14:paraId="3E9E98E5" w14:textId="77777777" w:rsidR="009632F5" w:rsidRPr="00221B5E" w:rsidRDefault="009632F5">
            <w:pPr>
              <w:jc w:val="center"/>
              <w:rPr>
                <w:sz w:val="20"/>
                <w:szCs w:val="20"/>
              </w:rPr>
            </w:pPr>
            <w:r w:rsidRPr="00221B5E">
              <w:rPr>
                <w:sz w:val="20"/>
                <w:szCs w:val="20"/>
              </w:rPr>
              <w:t>21,67</w:t>
            </w:r>
          </w:p>
        </w:tc>
      </w:tr>
      <w:tr w:rsidR="009632F5" w14:paraId="6BF34062" w14:textId="77777777" w:rsidTr="004400F0">
        <w:trPr>
          <w:trHeight w:hRule="exact" w:val="227"/>
        </w:trPr>
        <w:tc>
          <w:tcPr>
            <w:tcW w:w="1104" w:type="dxa"/>
            <w:tcBorders>
              <w:top w:val="nil"/>
              <w:left w:val="single" w:sz="8" w:space="0" w:color="000000"/>
              <w:bottom w:val="single" w:sz="4" w:space="0" w:color="000000"/>
              <w:right w:val="single" w:sz="8" w:space="0" w:color="000000"/>
            </w:tcBorders>
            <w:vAlign w:val="center"/>
            <w:hideMark/>
          </w:tcPr>
          <w:p w14:paraId="2535F13C" w14:textId="77777777" w:rsidR="009632F5" w:rsidRPr="00221B5E" w:rsidRDefault="009632F5">
            <w:pPr>
              <w:jc w:val="center"/>
              <w:rPr>
                <w:sz w:val="20"/>
                <w:szCs w:val="20"/>
              </w:rPr>
            </w:pPr>
            <w:r w:rsidRPr="00221B5E">
              <w:rPr>
                <w:sz w:val="20"/>
                <w:szCs w:val="20"/>
              </w:rPr>
              <w:t>11.</w:t>
            </w:r>
          </w:p>
        </w:tc>
        <w:tc>
          <w:tcPr>
            <w:tcW w:w="3279" w:type="dxa"/>
            <w:tcBorders>
              <w:top w:val="nil"/>
              <w:left w:val="nil"/>
              <w:bottom w:val="nil"/>
              <w:right w:val="single" w:sz="8" w:space="0" w:color="000000"/>
            </w:tcBorders>
            <w:vAlign w:val="center"/>
            <w:hideMark/>
          </w:tcPr>
          <w:p w14:paraId="21744D69" w14:textId="77777777" w:rsidR="009632F5" w:rsidRPr="00221B5E" w:rsidRDefault="009632F5">
            <w:pPr>
              <w:rPr>
                <w:sz w:val="20"/>
                <w:szCs w:val="20"/>
              </w:rPr>
            </w:pPr>
            <w:r w:rsidRPr="00221B5E">
              <w:rPr>
                <w:sz w:val="20"/>
                <w:szCs w:val="20"/>
              </w:rPr>
              <w:t>Slovenija</w:t>
            </w:r>
          </w:p>
        </w:tc>
        <w:tc>
          <w:tcPr>
            <w:tcW w:w="1750" w:type="dxa"/>
            <w:tcBorders>
              <w:top w:val="nil"/>
              <w:left w:val="nil"/>
              <w:bottom w:val="single" w:sz="4" w:space="0" w:color="000000"/>
              <w:right w:val="double" w:sz="6" w:space="0" w:color="000000"/>
            </w:tcBorders>
            <w:vAlign w:val="center"/>
            <w:hideMark/>
          </w:tcPr>
          <w:p w14:paraId="05CA7AFB" w14:textId="77777777" w:rsidR="009632F5" w:rsidRPr="00221B5E" w:rsidRDefault="009632F5">
            <w:pPr>
              <w:jc w:val="center"/>
              <w:rPr>
                <w:sz w:val="20"/>
                <w:szCs w:val="20"/>
              </w:rPr>
            </w:pPr>
            <w:r w:rsidRPr="00221B5E">
              <w:rPr>
                <w:sz w:val="20"/>
                <w:szCs w:val="20"/>
              </w:rPr>
              <w:t>47</w:t>
            </w:r>
          </w:p>
        </w:tc>
        <w:tc>
          <w:tcPr>
            <w:tcW w:w="1750" w:type="dxa"/>
            <w:tcBorders>
              <w:top w:val="nil"/>
              <w:left w:val="nil"/>
              <w:bottom w:val="single" w:sz="4" w:space="0" w:color="000000"/>
              <w:right w:val="single" w:sz="8" w:space="0" w:color="000000"/>
            </w:tcBorders>
            <w:vAlign w:val="center"/>
            <w:hideMark/>
          </w:tcPr>
          <w:p w14:paraId="43DCADC0" w14:textId="77777777" w:rsidR="009632F5" w:rsidRPr="00221B5E" w:rsidRDefault="009632F5">
            <w:pPr>
              <w:jc w:val="center"/>
              <w:rPr>
                <w:sz w:val="20"/>
                <w:szCs w:val="20"/>
              </w:rPr>
            </w:pPr>
            <w:r w:rsidRPr="00221B5E">
              <w:rPr>
                <w:sz w:val="20"/>
                <w:szCs w:val="20"/>
              </w:rPr>
              <w:t>73</w:t>
            </w:r>
          </w:p>
        </w:tc>
        <w:tc>
          <w:tcPr>
            <w:tcW w:w="1777" w:type="dxa"/>
            <w:tcBorders>
              <w:top w:val="nil"/>
              <w:left w:val="nil"/>
              <w:bottom w:val="single" w:sz="4" w:space="0" w:color="000000"/>
              <w:right w:val="single" w:sz="8" w:space="0" w:color="000000"/>
            </w:tcBorders>
            <w:shd w:val="clear" w:color="auto" w:fill="D9D9D9"/>
            <w:vAlign w:val="center"/>
            <w:hideMark/>
          </w:tcPr>
          <w:p w14:paraId="04026BEE" w14:textId="77777777" w:rsidR="009632F5" w:rsidRPr="00221B5E" w:rsidRDefault="009632F5">
            <w:pPr>
              <w:jc w:val="center"/>
              <w:rPr>
                <w:sz w:val="20"/>
                <w:szCs w:val="20"/>
              </w:rPr>
            </w:pPr>
            <w:r w:rsidRPr="00221B5E">
              <w:rPr>
                <w:sz w:val="20"/>
                <w:szCs w:val="20"/>
              </w:rPr>
              <w:t>55,32</w:t>
            </w:r>
          </w:p>
        </w:tc>
      </w:tr>
      <w:tr w:rsidR="009632F5" w14:paraId="61CDD2FD" w14:textId="77777777" w:rsidTr="004400F0">
        <w:trPr>
          <w:trHeight w:hRule="exact" w:val="227"/>
        </w:trPr>
        <w:tc>
          <w:tcPr>
            <w:tcW w:w="1104" w:type="dxa"/>
            <w:tcBorders>
              <w:top w:val="nil"/>
              <w:left w:val="single" w:sz="8" w:space="0" w:color="000000"/>
              <w:bottom w:val="nil"/>
              <w:right w:val="single" w:sz="8" w:space="0" w:color="000000"/>
            </w:tcBorders>
            <w:vAlign w:val="center"/>
            <w:hideMark/>
          </w:tcPr>
          <w:p w14:paraId="6DF9CEE8" w14:textId="77777777" w:rsidR="009632F5" w:rsidRPr="00221B5E" w:rsidRDefault="009632F5">
            <w:pPr>
              <w:jc w:val="center"/>
              <w:rPr>
                <w:sz w:val="20"/>
                <w:szCs w:val="20"/>
              </w:rPr>
            </w:pPr>
            <w:r w:rsidRPr="00221B5E">
              <w:rPr>
                <w:sz w:val="20"/>
                <w:szCs w:val="20"/>
              </w:rPr>
              <w:t>12.</w:t>
            </w:r>
          </w:p>
        </w:tc>
        <w:tc>
          <w:tcPr>
            <w:tcW w:w="3279" w:type="dxa"/>
            <w:tcBorders>
              <w:top w:val="single" w:sz="4" w:space="0" w:color="000000"/>
              <w:left w:val="nil"/>
              <w:bottom w:val="single" w:sz="4" w:space="0" w:color="000000"/>
              <w:right w:val="single" w:sz="8" w:space="0" w:color="000000"/>
            </w:tcBorders>
            <w:vAlign w:val="center"/>
            <w:hideMark/>
          </w:tcPr>
          <w:p w14:paraId="23839C49" w14:textId="77777777" w:rsidR="009632F5" w:rsidRPr="00221B5E" w:rsidRDefault="009632F5">
            <w:pPr>
              <w:rPr>
                <w:sz w:val="20"/>
                <w:szCs w:val="20"/>
              </w:rPr>
            </w:pPr>
            <w:r w:rsidRPr="00221B5E">
              <w:rPr>
                <w:sz w:val="20"/>
                <w:szCs w:val="20"/>
              </w:rPr>
              <w:t>Ujedinjeni Arapski Emirati</w:t>
            </w:r>
          </w:p>
        </w:tc>
        <w:tc>
          <w:tcPr>
            <w:tcW w:w="1750" w:type="dxa"/>
            <w:tcBorders>
              <w:top w:val="nil"/>
              <w:left w:val="nil"/>
              <w:bottom w:val="single" w:sz="4" w:space="0" w:color="000000"/>
              <w:right w:val="double" w:sz="6" w:space="0" w:color="000000"/>
            </w:tcBorders>
            <w:vAlign w:val="center"/>
            <w:hideMark/>
          </w:tcPr>
          <w:p w14:paraId="0B0F55B2" w14:textId="77777777" w:rsidR="009632F5" w:rsidRPr="00221B5E" w:rsidRDefault="009632F5">
            <w:pPr>
              <w:jc w:val="center"/>
              <w:rPr>
                <w:sz w:val="20"/>
                <w:szCs w:val="20"/>
              </w:rPr>
            </w:pPr>
            <w:r w:rsidRPr="00221B5E">
              <w:rPr>
                <w:sz w:val="20"/>
                <w:szCs w:val="20"/>
              </w:rPr>
              <w:t>68</w:t>
            </w:r>
          </w:p>
        </w:tc>
        <w:tc>
          <w:tcPr>
            <w:tcW w:w="1750" w:type="dxa"/>
            <w:tcBorders>
              <w:top w:val="nil"/>
              <w:left w:val="nil"/>
              <w:bottom w:val="nil"/>
              <w:right w:val="single" w:sz="8" w:space="0" w:color="000000"/>
            </w:tcBorders>
            <w:vAlign w:val="center"/>
            <w:hideMark/>
          </w:tcPr>
          <w:p w14:paraId="6657317A" w14:textId="77777777" w:rsidR="009632F5" w:rsidRPr="00221B5E" w:rsidRDefault="009632F5">
            <w:pPr>
              <w:jc w:val="center"/>
              <w:rPr>
                <w:sz w:val="20"/>
                <w:szCs w:val="20"/>
              </w:rPr>
            </w:pPr>
            <w:r w:rsidRPr="00221B5E">
              <w:rPr>
                <w:sz w:val="20"/>
                <w:szCs w:val="20"/>
              </w:rPr>
              <w:t>66</w:t>
            </w:r>
          </w:p>
        </w:tc>
        <w:tc>
          <w:tcPr>
            <w:tcW w:w="1777" w:type="dxa"/>
            <w:tcBorders>
              <w:top w:val="nil"/>
              <w:left w:val="nil"/>
              <w:bottom w:val="single" w:sz="4" w:space="0" w:color="000000"/>
              <w:right w:val="single" w:sz="8" w:space="0" w:color="000000"/>
            </w:tcBorders>
            <w:shd w:val="clear" w:color="auto" w:fill="D9D9D9"/>
            <w:vAlign w:val="center"/>
            <w:hideMark/>
          </w:tcPr>
          <w:p w14:paraId="3A120EC8" w14:textId="77777777" w:rsidR="009632F5" w:rsidRPr="00221B5E" w:rsidRDefault="009632F5">
            <w:pPr>
              <w:jc w:val="center"/>
              <w:rPr>
                <w:sz w:val="20"/>
                <w:szCs w:val="20"/>
              </w:rPr>
            </w:pPr>
            <w:r w:rsidRPr="00221B5E">
              <w:rPr>
                <w:sz w:val="20"/>
                <w:szCs w:val="20"/>
              </w:rPr>
              <w:t>-2,94</w:t>
            </w:r>
          </w:p>
        </w:tc>
      </w:tr>
      <w:tr w:rsidR="009632F5" w14:paraId="75D6CA14" w14:textId="77777777" w:rsidTr="004400F0">
        <w:trPr>
          <w:trHeight w:hRule="exact" w:val="227"/>
        </w:trPr>
        <w:tc>
          <w:tcPr>
            <w:tcW w:w="1104" w:type="dxa"/>
            <w:tcBorders>
              <w:top w:val="single" w:sz="4" w:space="0" w:color="000000"/>
              <w:left w:val="single" w:sz="8" w:space="0" w:color="000000"/>
              <w:bottom w:val="single" w:sz="8" w:space="0" w:color="000000"/>
              <w:right w:val="single" w:sz="8" w:space="0" w:color="000000"/>
            </w:tcBorders>
            <w:vAlign w:val="center"/>
            <w:hideMark/>
          </w:tcPr>
          <w:p w14:paraId="302426ED" w14:textId="77777777" w:rsidR="009632F5" w:rsidRPr="00221B5E" w:rsidRDefault="009632F5">
            <w:pPr>
              <w:jc w:val="center"/>
              <w:rPr>
                <w:sz w:val="20"/>
                <w:szCs w:val="20"/>
              </w:rPr>
            </w:pPr>
            <w:r w:rsidRPr="00221B5E">
              <w:rPr>
                <w:sz w:val="20"/>
                <w:szCs w:val="20"/>
              </w:rPr>
              <w:t>13.</w:t>
            </w:r>
          </w:p>
        </w:tc>
        <w:tc>
          <w:tcPr>
            <w:tcW w:w="3279" w:type="dxa"/>
            <w:tcBorders>
              <w:top w:val="nil"/>
              <w:left w:val="nil"/>
              <w:bottom w:val="single" w:sz="8" w:space="0" w:color="000000"/>
              <w:right w:val="single" w:sz="8" w:space="0" w:color="000000"/>
            </w:tcBorders>
            <w:vAlign w:val="center"/>
            <w:hideMark/>
          </w:tcPr>
          <w:p w14:paraId="75F624F7" w14:textId="77777777" w:rsidR="009632F5" w:rsidRPr="00221B5E" w:rsidRDefault="009632F5">
            <w:pPr>
              <w:rPr>
                <w:sz w:val="20"/>
                <w:szCs w:val="20"/>
              </w:rPr>
            </w:pPr>
            <w:r w:rsidRPr="00221B5E">
              <w:rPr>
                <w:sz w:val="20"/>
                <w:szCs w:val="20"/>
              </w:rPr>
              <w:t>Ostale zemlje</w:t>
            </w:r>
          </w:p>
        </w:tc>
        <w:tc>
          <w:tcPr>
            <w:tcW w:w="1750" w:type="dxa"/>
            <w:tcBorders>
              <w:top w:val="nil"/>
              <w:left w:val="nil"/>
              <w:bottom w:val="single" w:sz="8" w:space="0" w:color="000000"/>
              <w:right w:val="double" w:sz="6" w:space="0" w:color="000000"/>
            </w:tcBorders>
            <w:vAlign w:val="center"/>
            <w:hideMark/>
          </w:tcPr>
          <w:p w14:paraId="7EF513E2" w14:textId="77777777" w:rsidR="009632F5" w:rsidRPr="00221B5E" w:rsidRDefault="009632F5">
            <w:pPr>
              <w:jc w:val="center"/>
              <w:rPr>
                <w:sz w:val="20"/>
                <w:szCs w:val="20"/>
              </w:rPr>
            </w:pPr>
            <w:r w:rsidRPr="00221B5E">
              <w:rPr>
                <w:sz w:val="20"/>
                <w:szCs w:val="20"/>
              </w:rPr>
              <w:t>613</w:t>
            </w:r>
          </w:p>
        </w:tc>
        <w:tc>
          <w:tcPr>
            <w:tcW w:w="1750" w:type="dxa"/>
            <w:tcBorders>
              <w:top w:val="single" w:sz="4" w:space="0" w:color="000000"/>
              <w:left w:val="nil"/>
              <w:bottom w:val="single" w:sz="8" w:space="0" w:color="000000"/>
              <w:right w:val="single" w:sz="8" w:space="0" w:color="000000"/>
            </w:tcBorders>
            <w:vAlign w:val="center"/>
            <w:hideMark/>
          </w:tcPr>
          <w:p w14:paraId="1B08C48F" w14:textId="77777777" w:rsidR="009632F5" w:rsidRPr="00221B5E" w:rsidRDefault="009632F5">
            <w:pPr>
              <w:jc w:val="center"/>
              <w:rPr>
                <w:sz w:val="20"/>
                <w:szCs w:val="20"/>
              </w:rPr>
            </w:pPr>
            <w:r w:rsidRPr="00221B5E">
              <w:rPr>
                <w:sz w:val="20"/>
                <w:szCs w:val="20"/>
              </w:rPr>
              <w:t>708</w:t>
            </w:r>
          </w:p>
        </w:tc>
        <w:tc>
          <w:tcPr>
            <w:tcW w:w="1777" w:type="dxa"/>
            <w:tcBorders>
              <w:top w:val="nil"/>
              <w:left w:val="nil"/>
              <w:bottom w:val="single" w:sz="8" w:space="0" w:color="000000"/>
              <w:right w:val="single" w:sz="8" w:space="0" w:color="000000"/>
            </w:tcBorders>
            <w:shd w:val="clear" w:color="auto" w:fill="D9D9D9"/>
            <w:vAlign w:val="center"/>
            <w:hideMark/>
          </w:tcPr>
          <w:p w14:paraId="3A695460" w14:textId="77777777" w:rsidR="009632F5" w:rsidRPr="00221B5E" w:rsidRDefault="009632F5">
            <w:pPr>
              <w:jc w:val="center"/>
              <w:rPr>
                <w:sz w:val="20"/>
                <w:szCs w:val="20"/>
              </w:rPr>
            </w:pPr>
            <w:r w:rsidRPr="00221B5E">
              <w:rPr>
                <w:sz w:val="20"/>
                <w:szCs w:val="20"/>
              </w:rPr>
              <w:t>15,50</w:t>
            </w:r>
          </w:p>
        </w:tc>
      </w:tr>
      <w:tr w:rsidR="009632F5" w14:paraId="3D3914AA" w14:textId="77777777" w:rsidTr="00221B5E">
        <w:trPr>
          <w:trHeight w:val="153"/>
        </w:trPr>
        <w:tc>
          <w:tcPr>
            <w:tcW w:w="1104" w:type="dxa"/>
            <w:tcBorders>
              <w:top w:val="nil"/>
              <w:left w:val="single" w:sz="8" w:space="0" w:color="000000"/>
              <w:bottom w:val="single" w:sz="8" w:space="0" w:color="000000"/>
              <w:right w:val="single" w:sz="8" w:space="0" w:color="000000"/>
            </w:tcBorders>
            <w:shd w:val="clear" w:color="auto" w:fill="D9D9D9"/>
            <w:vAlign w:val="center"/>
            <w:hideMark/>
          </w:tcPr>
          <w:p w14:paraId="4C134DFC" w14:textId="77777777" w:rsidR="009632F5" w:rsidRPr="00221B5E" w:rsidRDefault="009632F5">
            <w:pPr>
              <w:rPr>
                <w:sz w:val="20"/>
                <w:szCs w:val="20"/>
              </w:rPr>
            </w:pPr>
            <w:r w:rsidRPr="00221B5E">
              <w:rPr>
                <w:sz w:val="20"/>
                <w:szCs w:val="20"/>
              </w:rPr>
              <w:t> </w:t>
            </w:r>
          </w:p>
        </w:tc>
        <w:tc>
          <w:tcPr>
            <w:tcW w:w="3279" w:type="dxa"/>
            <w:tcBorders>
              <w:top w:val="nil"/>
              <w:left w:val="nil"/>
              <w:bottom w:val="single" w:sz="8" w:space="0" w:color="000000"/>
              <w:right w:val="single" w:sz="8" w:space="0" w:color="000000"/>
            </w:tcBorders>
            <w:shd w:val="clear" w:color="auto" w:fill="D9D9D9"/>
            <w:vAlign w:val="center"/>
            <w:hideMark/>
          </w:tcPr>
          <w:p w14:paraId="1BA3ABF8" w14:textId="77777777" w:rsidR="009632F5" w:rsidRPr="00221B5E" w:rsidRDefault="009632F5">
            <w:pPr>
              <w:jc w:val="center"/>
              <w:rPr>
                <w:b/>
                <w:bCs/>
                <w:sz w:val="20"/>
                <w:szCs w:val="20"/>
              </w:rPr>
            </w:pPr>
            <w:r w:rsidRPr="00221B5E">
              <w:rPr>
                <w:b/>
                <w:bCs/>
                <w:sz w:val="20"/>
                <w:szCs w:val="20"/>
              </w:rPr>
              <w:t>Ukupno</w:t>
            </w:r>
          </w:p>
        </w:tc>
        <w:tc>
          <w:tcPr>
            <w:tcW w:w="1750" w:type="dxa"/>
            <w:tcBorders>
              <w:top w:val="nil"/>
              <w:left w:val="nil"/>
              <w:bottom w:val="single" w:sz="8" w:space="0" w:color="000000"/>
              <w:right w:val="double" w:sz="6" w:space="0" w:color="000000"/>
            </w:tcBorders>
            <w:shd w:val="clear" w:color="auto" w:fill="D9D9D9"/>
            <w:vAlign w:val="center"/>
            <w:hideMark/>
          </w:tcPr>
          <w:p w14:paraId="71090063" w14:textId="77777777" w:rsidR="009632F5" w:rsidRPr="00221B5E" w:rsidRDefault="009632F5">
            <w:pPr>
              <w:jc w:val="center"/>
              <w:rPr>
                <w:b/>
                <w:bCs/>
                <w:sz w:val="20"/>
                <w:szCs w:val="20"/>
              </w:rPr>
            </w:pPr>
            <w:r w:rsidRPr="00221B5E">
              <w:rPr>
                <w:b/>
                <w:bCs/>
                <w:sz w:val="20"/>
                <w:szCs w:val="20"/>
              </w:rPr>
              <w:t>2.593</w:t>
            </w:r>
          </w:p>
        </w:tc>
        <w:tc>
          <w:tcPr>
            <w:tcW w:w="1750" w:type="dxa"/>
            <w:tcBorders>
              <w:top w:val="nil"/>
              <w:left w:val="nil"/>
              <w:bottom w:val="single" w:sz="8" w:space="0" w:color="000000"/>
              <w:right w:val="single" w:sz="8" w:space="0" w:color="000000"/>
            </w:tcBorders>
            <w:shd w:val="clear" w:color="auto" w:fill="D9D9D9"/>
            <w:vAlign w:val="center"/>
            <w:hideMark/>
          </w:tcPr>
          <w:p w14:paraId="0160D81F" w14:textId="77777777" w:rsidR="009632F5" w:rsidRPr="00221B5E" w:rsidRDefault="009632F5">
            <w:pPr>
              <w:jc w:val="center"/>
              <w:rPr>
                <w:b/>
                <w:bCs/>
                <w:sz w:val="20"/>
                <w:szCs w:val="20"/>
              </w:rPr>
            </w:pPr>
            <w:r w:rsidRPr="00221B5E">
              <w:rPr>
                <w:b/>
                <w:bCs/>
                <w:sz w:val="20"/>
                <w:szCs w:val="20"/>
              </w:rPr>
              <w:t>2.822</w:t>
            </w:r>
          </w:p>
        </w:tc>
        <w:tc>
          <w:tcPr>
            <w:tcW w:w="1777" w:type="dxa"/>
            <w:tcBorders>
              <w:top w:val="nil"/>
              <w:left w:val="nil"/>
              <w:bottom w:val="single" w:sz="8" w:space="0" w:color="000000"/>
              <w:right w:val="single" w:sz="8" w:space="0" w:color="000000"/>
            </w:tcBorders>
            <w:shd w:val="clear" w:color="auto" w:fill="FFFFFF"/>
            <w:vAlign w:val="center"/>
            <w:hideMark/>
          </w:tcPr>
          <w:p w14:paraId="7B4FBE01" w14:textId="77777777" w:rsidR="009632F5" w:rsidRPr="00221B5E" w:rsidRDefault="009632F5">
            <w:pPr>
              <w:jc w:val="center"/>
              <w:rPr>
                <w:b/>
                <w:bCs/>
                <w:sz w:val="20"/>
                <w:szCs w:val="20"/>
              </w:rPr>
            </w:pPr>
            <w:r w:rsidRPr="00221B5E">
              <w:rPr>
                <w:b/>
                <w:bCs/>
                <w:sz w:val="20"/>
                <w:szCs w:val="20"/>
              </w:rPr>
              <w:t>8,83</w:t>
            </w:r>
          </w:p>
        </w:tc>
      </w:tr>
    </w:tbl>
    <w:p w14:paraId="0C20516F" w14:textId="4DD89B0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DE1495">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 xml:space="preserve">Distrikta </w:t>
      </w:r>
      <w:r>
        <w:rPr>
          <w:i/>
          <w:color w:val="auto"/>
          <w:sz w:val="20"/>
          <w:szCs w:val="20"/>
          <w:lang w:eastAsia="en-US"/>
        </w:rPr>
        <w:t>BiH.</w:t>
      </w:r>
    </w:p>
    <w:p w14:paraId="4EE0CEF0" w14:textId="77777777" w:rsidR="00915422" w:rsidRDefault="00915422">
      <w:pPr>
        <w:ind w:left="137" w:right="36" w:firstLine="0"/>
        <w:rPr>
          <w:color w:val="auto"/>
        </w:rPr>
      </w:pPr>
    </w:p>
    <w:p w14:paraId="66744C4D" w14:textId="0F329AB8" w:rsidR="00221B5E" w:rsidRPr="0063187D" w:rsidRDefault="00221B5E" w:rsidP="004A0DC9">
      <w:pPr>
        <w:ind w:left="137" w:right="36" w:firstLine="0"/>
        <w:rPr>
          <w:color w:val="auto"/>
          <w:szCs w:val="24"/>
        </w:rPr>
      </w:pPr>
      <w:r w:rsidRPr="0063187D">
        <w:rPr>
          <w:color w:val="auto"/>
        </w:rPr>
        <w:t xml:space="preserve">Najveći broj stranaca koji su dobili radne dozvole u BiH u 2018. godini su državljani </w:t>
      </w:r>
      <w:r w:rsidR="006143F0" w:rsidRPr="0063187D">
        <w:rPr>
          <w:color w:val="auto"/>
        </w:rPr>
        <w:t xml:space="preserve">Republike </w:t>
      </w:r>
      <w:r w:rsidRPr="0063187D">
        <w:rPr>
          <w:color w:val="auto"/>
        </w:rPr>
        <w:t xml:space="preserve">Srbije 733 (25,97%), a nakon njih slijede državljani </w:t>
      </w:r>
      <w:r w:rsidR="006143F0" w:rsidRPr="0063187D">
        <w:rPr>
          <w:color w:val="auto"/>
        </w:rPr>
        <w:t xml:space="preserve">Republike </w:t>
      </w:r>
      <w:r w:rsidRPr="0063187D">
        <w:rPr>
          <w:color w:val="auto"/>
        </w:rPr>
        <w:t>Turske 331 (11,73%),</w:t>
      </w:r>
      <w:r w:rsidR="006143F0" w:rsidRPr="0063187D">
        <w:rPr>
          <w:color w:val="auto"/>
        </w:rPr>
        <w:t xml:space="preserve"> Republike</w:t>
      </w:r>
      <w:r w:rsidRPr="0063187D">
        <w:rPr>
          <w:color w:val="auto"/>
        </w:rPr>
        <w:t xml:space="preserve"> Hrvatske 170 (6,02%), </w:t>
      </w:r>
      <w:r w:rsidR="006143F0" w:rsidRPr="0063187D">
        <w:rPr>
          <w:color w:val="auto"/>
        </w:rPr>
        <w:t xml:space="preserve">Narodne Republike </w:t>
      </w:r>
      <w:r w:rsidRPr="0063187D">
        <w:rPr>
          <w:color w:val="auto"/>
        </w:rPr>
        <w:t xml:space="preserve">Kine 147 (5,21%) i </w:t>
      </w:r>
      <w:r w:rsidR="006143F0" w:rsidRPr="0063187D">
        <w:rPr>
          <w:color w:val="auto"/>
        </w:rPr>
        <w:t xml:space="preserve">Arapske Republike </w:t>
      </w:r>
      <w:r w:rsidRPr="0063187D">
        <w:rPr>
          <w:color w:val="auto"/>
        </w:rPr>
        <w:t xml:space="preserve">Egipta 116 (4,11%). U 2018. godini uočava se trend rasta izdatih radnih dozvola u BiH u odnosu na 2017. godinu, izuzev državljana </w:t>
      </w:r>
      <w:r w:rsidR="006143F0" w:rsidRPr="0063187D">
        <w:rPr>
          <w:color w:val="auto"/>
        </w:rPr>
        <w:t xml:space="preserve">Republike </w:t>
      </w:r>
      <w:r w:rsidRPr="0063187D">
        <w:rPr>
          <w:color w:val="auto"/>
        </w:rPr>
        <w:t xml:space="preserve">Turske, </w:t>
      </w:r>
      <w:r w:rsidR="0063187D" w:rsidRPr="0063187D">
        <w:rPr>
          <w:rFonts w:eastAsia="SimSun"/>
          <w:color w:val="auto"/>
          <w:kern w:val="2"/>
          <w:szCs w:val="20"/>
          <w:lang w:val="sr-Cyrl-RS" w:eastAsia="zh-CN"/>
        </w:rPr>
        <w:t>Sirijske Arapske Republike</w:t>
      </w:r>
      <w:r w:rsidRPr="0063187D">
        <w:rPr>
          <w:color w:val="auto"/>
        </w:rPr>
        <w:t xml:space="preserve">, i Ujedinjenih Arapskih Emirata. Najveći rast broja izdatih radnih dozvola od 55,32% u odnosu na prošlu godinu registrovan je kod državljana </w:t>
      </w:r>
      <w:r w:rsidR="006143F0" w:rsidRPr="0063187D">
        <w:rPr>
          <w:color w:val="auto"/>
        </w:rPr>
        <w:t xml:space="preserve">Republike </w:t>
      </w:r>
      <w:r w:rsidRPr="0063187D">
        <w:rPr>
          <w:color w:val="auto"/>
        </w:rPr>
        <w:t xml:space="preserve">Slovenije, zatim Saudijske Arabije 33,85%, te </w:t>
      </w:r>
      <w:r w:rsidR="00F27F69" w:rsidRPr="0063187D">
        <w:rPr>
          <w:color w:val="auto"/>
        </w:rPr>
        <w:t xml:space="preserve">Arapske Republike </w:t>
      </w:r>
      <w:r w:rsidRPr="0063187D">
        <w:rPr>
          <w:color w:val="auto"/>
        </w:rPr>
        <w:t xml:space="preserve">Egipta 31,82%, dok je najveće smanjenje od 12,43% registrovano kod državljana </w:t>
      </w:r>
      <w:r w:rsidR="00F27F69" w:rsidRPr="0063187D">
        <w:rPr>
          <w:color w:val="auto"/>
        </w:rPr>
        <w:t xml:space="preserve">Republike </w:t>
      </w:r>
      <w:r w:rsidRPr="0063187D">
        <w:rPr>
          <w:color w:val="auto"/>
        </w:rPr>
        <w:t xml:space="preserve">Turske. </w:t>
      </w:r>
    </w:p>
    <w:p w14:paraId="54A0DB1E" w14:textId="77777777" w:rsidR="00765CE7" w:rsidRDefault="00765CE7">
      <w:pPr>
        <w:ind w:left="0" w:firstLine="0"/>
        <w:rPr>
          <w:color w:val="auto"/>
        </w:rPr>
      </w:pPr>
    </w:p>
    <w:p w14:paraId="3A02F274" w14:textId="15488A29" w:rsidR="00765CE7" w:rsidRDefault="00B80ACE">
      <w:pPr>
        <w:pStyle w:val="Heading3"/>
        <w:numPr>
          <w:ilvl w:val="2"/>
          <w:numId w:val="3"/>
        </w:numPr>
        <w:rPr>
          <w:rFonts w:ascii="Times New Roman" w:hAnsi="Times New Roman" w:cs="Times New Roman"/>
          <w:b/>
          <w:i/>
          <w:color w:val="auto"/>
        </w:rPr>
      </w:pPr>
      <w:bookmarkStart w:id="15" w:name="_Toc28010136"/>
      <w:r>
        <w:rPr>
          <w:rFonts w:ascii="Times New Roman" w:hAnsi="Times New Roman" w:cs="Times New Roman"/>
          <w:b/>
          <w:i/>
          <w:color w:val="auto"/>
        </w:rPr>
        <w:t>Izdate radne dozvole stran</w:t>
      </w:r>
      <w:r w:rsidR="00820EA4">
        <w:rPr>
          <w:rFonts w:ascii="Times New Roman" w:hAnsi="Times New Roman" w:cs="Times New Roman"/>
          <w:b/>
          <w:i/>
          <w:color w:val="auto"/>
        </w:rPr>
        <w:t xml:space="preserve">cima </w:t>
      </w:r>
      <w:r>
        <w:rPr>
          <w:rFonts w:ascii="Times New Roman" w:hAnsi="Times New Roman" w:cs="Times New Roman"/>
          <w:b/>
          <w:i/>
          <w:color w:val="auto"/>
        </w:rPr>
        <w:t>prema kvalifikacionoj strukturi</w:t>
      </w:r>
      <w:bookmarkEnd w:id="15"/>
    </w:p>
    <w:p w14:paraId="1E1C1CD7" w14:textId="77777777" w:rsidR="00765CE7" w:rsidRDefault="00765CE7">
      <w:pPr>
        <w:ind w:left="142"/>
        <w:rPr>
          <w:color w:val="auto"/>
        </w:rPr>
      </w:pPr>
    </w:p>
    <w:p w14:paraId="74FBF294" w14:textId="4370C784" w:rsidR="007F0B4C" w:rsidRDefault="007F0B4C" w:rsidP="007F0B4C">
      <w:pPr>
        <w:spacing w:line="256" w:lineRule="auto"/>
        <w:ind w:firstLine="0"/>
        <w:rPr>
          <w:color w:val="auto"/>
          <w:szCs w:val="24"/>
        </w:rPr>
      </w:pPr>
      <w:r>
        <w:t>Kvalifikaciona struktura stranaca kojima su izdate radne dozvole u 2018. godini pokazuje da najveći broj ima visoku stručnu spremu 1.398 (49,36%), nakon čega slijede oni sa srednjom stručnom spremom 819 (29,02%), te nekvalifikovani radnici 228 (8,08%), što je skoro isti slučaj i u prethodnim godinama kada su u pitanju visoka i srednja stručna sprema. Gledano po entitetima</w:t>
      </w:r>
      <w:r>
        <w:rPr>
          <w:color w:val="FF0000"/>
        </w:rPr>
        <w:t xml:space="preserve"> </w:t>
      </w:r>
      <w:r>
        <w:t xml:space="preserve">broj izdatih radnih dozvola u Federaciji BiH ima istu kvalifikacinu strukturu kao i ukupno za Bosnu i Hercegovinu. U Republici Srpskoj najviše radnih dozvola takođe je izdato za visoku i srednju stručnu spremu, a zatim slijede KV radnici, dok je za Brčko </w:t>
      </w:r>
      <w:r w:rsidR="006143F0">
        <w:t>Distrikt</w:t>
      </w:r>
      <w:r w:rsidR="00F27F69">
        <w:t xml:space="preserve"> </w:t>
      </w:r>
      <w:r>
        <w:t xml:space="preserve">BiH situacija nešto drugačija i najviše radnih dozvola je izdato radnicima sa SSS (56,30%) od ukupno izdatih u Brčko </w:t>
      </w:r>
      <w:r w:rsidR="006143F0">
        <w:t>Distriktu</w:t>
      </w:r>
      <w:r w:rsidR="00F27F69">
        <w:t xml:space="preserve"> </w:t>
      </w:r>
      <w:r>
        <w:t>BiH, zatim KV radnicima (22,22%), te radnicima sa VSS (18,52%).</w:t>
      </w:r>
    </w:p>
    <w:p w14:paraId="71AF3749" w14:textId="4E6FB679" w:rsidR="00765CE7" w:rsidRDefault="00765CE7">
      <w:pPr>
        <w:ind w:left="0" w:firstLine="0"/>
        <w:rPr>
          <w:color w:val="auto"/>
        </w:rPr>
      </w:pPr>
    </w:p>
    <w:p w14:paraId="2EB8300D" w14:textId="6B18325E" w:rsidR="005E2696" w:rsidRDefault="005E2696">
      <w:pPr>
        <w:ind w:left="0" w:firstLine="0"/>
        <w:rPr>
          <w:color w:val="auto"/>
        </w:rPr>
      </w:pPr>
    </w:p>
    <w:p w14:paraId="1A514393" w14:textId="3A9A28F5" w:rsidR="005E2696" w:rsidRDefault="005E2696">
      <w:pPr>
        <w:ind w:left="0" w:firstLine="0"/>
        <w:rPr>
          <w:color w:val="auto"/>
        </w:rPr>
      </w:pPr>
    </w:p>
    <w:p w14:paraId="47220E94" w14:textId="009619DD" w:rsidR="005E2696" w:rsidRDefault="005E2696">
      <w:pPr>
        <w:ind w:left="0" w:firstLine="0"/>
        <w:rPr>
          <w:color w:val="auto"/>
        </w:rPr>
      </w:pPr>
    </w:p>
    <w:p w14:paraId="196ADB73" w14:textId="77777777" w:rsidR="005E2696" w:rsidRDefault="005E2696">
      <w:pPr>
        <w:ind w:left="0" w:firstLine="0"/>
        <w:rPr>
          <w:color w:val="auto"/>
        </w:rPr>
      </w:pPr>
    </w:p>
    <w:p w14:paraId="7DADC543" w14:textId="14852F9F" w:rsidR="00636BCC" w:rsidRPr="003278B8" w:rsidRDefault="00B80ACE" w:rsidP="003278B8">
      <w:pPr>
        <w:rPr>
          <w:b/>
          <w:i/>
          <w:sz w:val="22"/>
        </w:rPr>
      </w:pPr>
      <w:r w:rsidRPr="00EB22BA">
        <w:rPr>
          <w:b/>
          <w:i/>
          <w:color w:val="auto"/>
          <w:sz w:val="22"/>
        </w:rPr>
        <w:lastRenderedPageBreak/>
        <w:t xml:space="preserve">Tabela </w:t>
      </w:r>
      <w:r w:rsidR="00EB22BA" w:rsidRPr="00EB22BA">
        <w:rPr>
          <w:b/>
          <w:i/>
          <w:color w:val="auto"/>
          <w:sz w:val="22"/>
        </w:rPr>
        <w:t>6</w:t>
      </w:r>
      <w:r w:rsidRPr="00EB22BA">
        <w:rPr>
          <w:b/>
          <w:i/>
          <w:color w:val="auto"/>
          <w:sz w:val="22"/>
        </w:rPr>
        <w:t>.</w:t>
      </w:r>
      <w:r w:rsidR="00AD2887" w:rsidRPr="00EB22BA">
        <w:rPr>
          <w:b/>
          <w:i/>
          <w:color w:val="auto"/>
          <w:sz w:val="22"/>
        </w:rPr>
        <w:t xml:space="preserve"> </w:t>
      </w:r>
      <w:r>
        <w:rPr>
          <w:b/>
          <w:i/>
          <w:color w:val="auto"/>
          <w:sz w:val="22"/>
        </w:rPr>
        <w:t xml:space="preserve">Izdate radne dozvole strancima razvrstane po kvalifikacionoj strukturi </w:t>
      </w:r>
      <w:r w:rsidR="007F0B4C">
        <w:rPr>
          <w:b/>
          <w:i/>
          <w:sz w:val="22"/>
        </w:rPr>
        <w:t>za 2018</w:t>
      </w:r>
      <w:r w:rsidR="00594DEE">
        <w:rPr>
          <w:b/>
          <w:i/>
          <w:sz w:val="22"/>
        </w:rPr>
        <w:t>. godinu</w:t>
      </w:r>
    </w:p>
    <w:p w14:paraId="48EE81B8" w14:textId="1266D7E4" w:rsidR="00915422" w:rsidRPr="00915422" w:rsidRDefault="007F0B4C" w:rsidP="00915422">
      <w:pPr>
        <w:ind w:left="0" w:firstLine="0"/>
        <w:rPr>
          <w:i/>
          <w:color w:val="auto"/>
          <w:sz w:val="20"/>
          <w:szCs w:val="20"/>
          <w:lang w:eastAsia="en-US"/>
        </w:rPr>
      </w:pPr>
      <w:r>
        <w:rPr>
          <w:lang w:val="en-US" w:eastAsia="en-US"/>
        </w:rPr>
        <w:drawing>
          <wp:inline distT="0" distB="0" distL="0" distR="0" wp14:anchorId="2425356E" wp14:editId="3159197D">
            <wp:extent cx="5759428" cy="34187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28" cy="3418764"/>
                    </a:xfrm>
                    <a:prstGeom prst="rect">
                      <a:avLst/>
                    </a:prstGeom>
                    <a:noFill/>
                    <a:ln>
                      <a:noFill/>
                    </a:ln>
                  </pic:spPr>
                </pic:pic>
              </a:graphicData>
            </a:graphic>
          </wp:inline>
        </w:drawing>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0D0720">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F27F69">
        <w:rPr>
          <w:i/>
          <w:color w:val="auto"/>
          <w:sz w:val="20"/>
          <w:szCs w:val="20"/>
          <w:lang w:eastAsia="en-US"/>
        </w:rPr>
        <w:t xml:space="preserve"> </w:t>
      </w:r>
      <w:r w:rsidR="00915422">
        <w:rPr>
          <w:i/>
          <w:color w:val="auto"/>
          <w:sz w:val="20"/>
          <w:szCs w:val="20"/>
          <w:lang w:eastAsia="en-US"/>
        </w:rPr>
        <w:t>BiH.</w:t>
      </w:r>
    </w:p>
    <w:p w14:paraId="00F35824" w14:textId="77777777" w:rsidR="00915422" w:rsidRDefault="00915422">
      <w:pPr>
        <w:ind w:left="0" w:right="36" w:firstLine="0"/>
        <w:rPr>
          <w:color w:val="auto"/>
        </w:rPr>
      </w:pPr>
    </w:p>
    <w:p w14:paraId="27A644AA" w14:textId="77777777" w:rsidR="007F0B4C" w:rsidRDefault="007F0B4C" w:rsidP="00307387">
      <w:pPr>
        <w:ind w:left="137" w:right="36" w:firstLine="0"/>
        <w:rPr>
          <w:color w:val="auto"/>
          <w:szCs w:val="24"/>
        </w:rPr>
      </w:pPr>
      <w:r>
        <w:t xml:space="preserve">Poredeći 2018. sa 2017. godinom prema kvalifikacionoj strukturi, povećanje broja izdatih radnih dozvola strancima uočeno je kod lica sa VSS, SSS, KV, PKV i NSS  lica, dok je smanjenje broja izdatih radnih dozvola zabilježeno kod lica sa VŠS, VKV i NKV lica. </w:t>
      </w:r>
    </w:p>
    <w:p w14:paraId="2C1C8DFD" w14:textId="77777777" w:rsidR="00D259B4" w:rsidRDefault="00D259B4" w:rsidP="00D259B4">
      <w:pPr>
        <w:ind w:left="0" w:right="36" w:firstLine="0"/>
        <w:rPr>
          <w:color w:val="auto"/>
        </w:rPr>
      </w:pPr>
    </w:p>
    <w:p w14:paraId="7CAADDC8" w14:textId="4A2637F7" w:rsidR="00046FF0" w:rsidRPr="003278B8" w:rsidRDefault="00B80ACE" w:rsidP="003278B8">
      <w:pPr>
        <w:ind w:right="36"/>
        <w:rPr>
          <w:b/>
          <w:i/>
          <w:sz w:val="22"/>
        </w:rPr>
      </w:pPr>
      <w:r w:rsidRPr="00EB22BA">
        <w:rPr>
          <w:b/>
          <w:i/>
          <w:color w:val="auto"/>
          <w:sz w:val="22"/>
        </w:rPr>
        <w:t xml:space="preserve">Tabela </w:t>
      </w:r>
      <w:r w:rsidR="00EB22BA" w:rsidRPr="00EB22BA">
        <w:rPr>
          <w:b/>
          <w:i/>
          <w:color w:val="auto"/>
          <w:sz w:val="22"/>
        </w:rPr>
        <w:t>7</w:t>
      </w:r>
      <w:r w:rsidRPr="00EB22BA">
        <w:rPr>
          <w:b/>
          <w:i/>
          <w:color w:val="auto"/>
          <w:sz w:val="22"/>
        </w:rPr>
        <w:t>.</w:t>
      </w:r>
      <w:r w:rsidR="00307387" w:rsidRPr="00EB22BA">
        <w:rPr>
          <w:b/>
          <w:i/>
          <w:color w:val="auto"/>
          <w:sz w:val="22"/>
        </w:rPr>
        <w:t xml:space="preserve"> </w:t>
      </w:r>
      <w:r>
        <w:rPr>
          <w:b/>
          <w:i/>
          <w:color w:val="auto"/>
          <w:sz w:val="22"/>
        </w:rPr>
        <w:t>Izdate radne dozvole strancima razvrstane po kvalifikacionoj strukturi -</w:t>
      </w:r>
      <w:r w:rsidR="007F0B4C" w:rsidRPr="007F0B4C">
        <w:rPr>
          <w:b/>
          <w:i/>
          <w:sz w:val="22"/>
        </w:rPr>
        <w:t xml:space="preserve"> </w:t>
      </w:r>
      <w:r w:rsidR="007F0B4C">
        <w:rPr>
          <w:b/>
          <w:i/>
          <w:sz w:val="22"/>
        </w:rPr>
        <w:t>(trend promjene 2018./2017. godina)</w:t>
      </w:r>
    </w:p>
    <w:p w14:paraId="7203C1CE" w14:textId="013E9139" w:rsidR="00915422" w:rsidRDefault="000D7433" w:rsidP="00915422">
      <w:pPr>
        <w:ind w:left="0" w:firstLine="0"/>
        <w:rPr>
          <w:i/>
          <w:color w:val="auto"/>
          <w:sz w:val="20"/>
          <w:szCs w:val="20"/>
          <w:lang w:eastAsia="en-US"/>
        </w:rPr>
      </w:pPr>
      <w:r>
        <w:rPr>
          <w:lang w:val="en-US" w:eastAsia="en-US"/>
        </w:rPr>
        <w:drawing>
          <wp:inline distT="0" distB="0" distL="0" distR="0" wp14:anchorId="211A68A9" wp14:editId="00162D8F">
            <wp:extent cx="5760209" cy="163773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209" cy="1637731"/>
                    </a:xfrm>
                    <a:prstGeom prst="rect">
                      <a:avLst/>
                    </a:prstGeom>
                    <a:noFill/>
                    <a:ln>
                      <a:noFill/>
                    </a:ln>
                  </pic:spPr>
                </pic:pic>
              </a:graphicData>
            </a:graphic>
          </wp:inline>
        </w:drawing>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307387">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sidR="00915422">
        <w:rPr>
          <w:i/>
          <w:color w:val="auto"/>
          <w:sz w:val="20"/>
          <w:szCs w:val="20"/>
          <w:lang w:eastAsia="en-US"/>
        </w:rPr>
        <w:t>BiH.</w:t>
      </w:r>
    </w:p>
    <w:p w14:paraId="5F72873C" w14:textId="77777777" w:rsidR="003278B8" w:rsidRDefault="003278B8" w:rsidP="00E66EED">
      <w:pPr>
        <w:spacing w:after="48"/>
        <w:ind w:left="0" w:firstLine="0"/>
        <w:rPr>
          <w:b/>
          <w:color w:val="auto"/>
        </w:rPr>
      </w:pPr>
    </w:p>
    <w:p w14:paraId="4357821C" w14:textId="6E50A526" w:rsidR="00765CE7" w:rsidRDefault="00B80ACE">
      <w:pPr>
        <w:pStyle w:val="Heading3"/>
        <w:rPr>
          <w:rFonts w:ascii="Times New Roman" w:hAnsi="Times New Roman" w:cs="Times New Roman"/>
          <w:b/>
          <w:i/>
          <w:color w:val="auto"/>
        </w:rPr>
      </w:pPr>
      <w:bookmarkStart w:id="16" w:name="_Toc28010137"/>
      <w:r>
        <w:rPr>
          <w:rFonts w:ascii="Times New Roman" w:hAnsi="Times New Roman" w:cs="Times New Roman"/>
          <w:b/>
          <w:i/>
          <w:color w:val="auto"/>
        </w:rPr>
        <w:t xml:space="preserve">4.2.3. Izdate radne dozvole </w:t>
      </w:r>
      <w:r w:rsidR="00E66EED">
        <w:rPr>
          <w:rFonts w:ascii="Times New Roman" w:hAnsi="Times New Roman" w:cs="Times New Roman"/>
          <w:b/>
          <w:i/>
          <w:color w:val="auto"/>
        </w:rPr>
        <w:t xml:space="preserve">strancima </w:t>
      </w:r>
      <w:r>
        <w:rPr>
          <w:rFonts w:ascii="Times New Roman" w:hAnsi="Times New Roman" w:cs="Times New Roman"/>
          <w:b/>
          <w:i/>
          <w:color w:val="auto"/>
        </w:rPr>
        <w:t>prema području djelatnosti zanimanja</w:t>
      </w:r>
      <w:bookmarkEnd w:id="16"/>
    </w:p>
    <w:p w14:paraId="0F2739A7" w14:textId="77777777" w:rsidR="00765CE7" w:rsidRDefault="00765CE7">
      <w:pPr>
        <w:spacing w:after="48"/>
        <w:ind w:left="135"/>
        <w:rPr>
          <w:color w:val="auto"/>
          <w:sz w:val="10"/>
          <w:szCs w:val="10"/>
        </w:rPr>
      </w:pPr>
    </w:p>
    <w:p w14:paraId="45C8259B" w14:textId="6E9B5E75" w:rsidR="00365F95" w:rsidRDefault="00365F95" w:rsidP="00E66EED">
      <w:pPr>
        <w:tabs>
          <w:tab w:val="left" w:pos="709"/>
        </w:tabs>
      </w:pPr>
      <w:r>
        <w:t>Najveći broj radnih dozvola u 2018. godini izdat je u sljedećim djelatnostima: trgovini 667 (23,6%), poslovanju nekretninama 356 (12,6%), prerađivačkoj industriji</w:t>
      </w:r>
      <w:r>
        <w:rPr>
          <w:color w:val="FF0000"/>
        </w:rPr>
        <w:t xml:space="preserve"> </w:t>
      </w:r>
      <w:r>
        <w:t>268 (9,5%), ostalim uslužnim djelatnostima 237 (8,4%) i umjetnosti, zabave i rekreacije 224 (7,9%), što predstavlja 62,0% od ukupnog broja izdatih radnih dozvola.</w:t>
      </w:r>
      <w:r>
        <w:rPr>
          <w:color w:val="FF0000"/>
        </w:rPr>
        <w:t xml:space="preserve"> </w:t>
      </w:r>
      <w:r>
        <w:t>Najveće povećanje broja izdatih radnih dozvola u 2018. godini u odnosu na 2017. godinu</w:t>
      </w:r>
      <w:r>
        <w:rPr>
          <w:color w:val="FF0000"/>
        </w:rPr>
        <w:t xml:space="preserve"> </w:t>
      </w:r>
      <w:r>
        <w:t xml:space="preserve">bilo je u sektorima proizvodnje i snabdijevanja električnom energijom, plinom i parom; stručne, naučne i tehničke djelatnosti </w:t>
      </w:r>
      <w:r>
        <w:lastRenderedPageBreak/>
        <w:t>(54,67%) i umjetnosti, zabave i rekreacije (51,35%), dok je najveće smanjenje bilo u sektorima</w:t>
      </w:r>
      <w:r>
        <w:rPr>
          <w:color w:val="FF0000"/>
        </w:rPr>
        <w:t xml:space="preserve"> </w:t>
      </w:r>
      <w:r>
        <w:t>prerađivačke industrije (27,96%), obrazovanja (12,29%), te građevinarstva (9,41%).</w:t>
      </w:r>
    </w:p>
    <w:p w14:paraId="59839933" w14:textId="77777777" w:rsidR="00152977" w:rsidRPr="00E66EED" w:rsidRDefault="00152977" w:rsidP="00E66EED">
      <w:pPr>
        <w:tabs>
          <w:tab w:val="left" w:pos="709"/>
        </w:tabs>
        <w:rPr>
          <w:color w:val="auto"/>
          <w:szCs w:val="24"/>
        </w:rPr>
      </w:pPr>
    </w:p>
    <w:p w14:paraId="10C4DC57" w14:textId="3A94AC61" w:rsidR="00765CE7" w:rsidRDefault="00B80ACE">
      <w:pPr>
        <w:spacing w:after="48"/>
        <w:rPr>
          <w:b/>
          <w:i/>
          <w:color w:val="auto"/>
          <w:sz w:val="22"/>
        </w:rPr>
      </w:pPr>
      <w:r w:rsidRPr="008151C0">
        <w:rPr>
          <w:b/>
          <w:i/>
          <w:color w:val="auto"/>
          <w:sz w:val="22"/>
        </w:rPr>
        <w:t xml:space="preserve">Tabela </w:t>
      </w:r>
      <w:r w:rsidR="008151C0" w:rsidRPr="008151C0">
        <w:rPr>
          <w:b/>
          <w:i/>
          <w:color w:val="auto"/>
          <w:sz w:val="22"/>
        </w:rPr>
        <w:t>8</w:t>
      </w:r>
      <w:r w:rsidRPr="008151C0">
        <w:rPr>
          <w:b/>
          <w:i/>
          <w:color w:val="auto"/>
          <w:sz w:val="22"/>
        </w:rPr>
        <w:t>.</w:t>
      </w:r>
      <w:r w:rsidR="00D876C7" w:rsidRPr="008151C0">
        <w:rPr>
          <w:b/>
          <w:i/>
          <w:color w:val="auto"/>
          <w:sz w:val="22"/>
        </w:rPr>
        <w:t xml:space="preserve"> </w:t>
      </w:r>
      <w:r>
        <w:rPr>
          <w:b/>
          <w:i/>
          <w:color w:val="auto"/>
          <w:sz w:val="22"/>
        </w:rPr>
        <w:t xml:space="preserve">Struktura radnih dozvola u periodu </w:t>
      </w:r>
      <w:r w:rsidRPr="005E79C1">
        <w:rPr>
          <w:b/>
          <w:i/>
          <w:color w:val="auto"/>
          <w:sz w:val="22"/>
        </w:rPr>
        <w:t>20</w:t>
      </w:r>
      <w:r w:rsidR="005E79C1">
        <w:rPr>
          <w:b/>
          <w:i/>
          <w:color w:val="auto"/>
          <w:sz w:val="22"/>
        </w:rPr>
        <w:t>17</w:t>
      </w:r>
      <w:r w:rsidRPr="005E79C1">
        <w:rPr>
          <w:b/>
          <w:i/>
          <w:color w:val="auto"/>
          <w:sz w:val="22"/>
        </w:rPr>
        <w:t>.-201</w:t>
      </w:r>
      <w:r w:rsidR="005E79C1">
        <w:rPr>
          <w:b/>
          <w:i/>
          <w:color w:val="auto"/>
          <w:sz w:val="22"/>
        </w:rPr>
        <w:t>8</w:t>
      </w:r>
      <w:r w:rsidRPr="005E79C1">
        <w:rPr>
          <w:b/>
          <w:i/>
          <w:color w:val="auto"/>
          <w:sz w:val="22"/>
        </w:rPr>
        <w:t>.</w:t>
      </w:r>
      <w:r>
        <w:rPr>
          <w:b/>
          <w:i/>
          <w:color w:val="auto"/>
          <w:sz w:val="22"/>
        </w:rPr>
        <w:t xml:space="preserve"> godina prema djelatnostima</w:t>
      </w:r>
      <w:r>
        <w:rPr>
          <w:rStyle w:val="FootnoteReference"/>
          <w:b/>
          <w:i/>
          <w:color w:val="auto"/>
          <w:sz w:val="22"/>
        </w:rPr>
        <w:footnoteReference w:id="1"/>
      </w:r>
      <w:r>
        <w:rPr>
          <w:b/>
          <w:i/>
          <w:color w:val="auto"/>
          <w:sz w:val="22"/>
        </w:rPr>
        <w:t xml:space="preserve"> </w:t>
      </w:r>
    </w:p>
    <w:p w14:paraId="2A577BDC" w14:textId="06FE9AD1" w:rsidR="00365F95" w:rsidRDefault="00365F95">
      <w:pPr>
        <w:spacing w:after="48"/>
        <w:rPr>
          <w:b/>
          <w:i/>
          <w:color w:val="auto"/>
          <w:sz w:val="22"/>
        </w:rPr>
      </w:pPr>
      <w:r>
        <w:rPr>
          <w:lang w:val="en-US" w:eastAsia="en-US"/>
        </w:rPr>
        <w:drawing>
          <wp:inline distT="0" distB="0" distL="0" distR="0" wp14:anchorId="6FA54EF6" wp14:editId="57416AD1">
            <wp:extent cx="5760720" cy="59940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94092"/>
                    </a:xfrm>
                    <a:prstGeom prst="rect">
                      <a:avLst/>
                    </a:prstGeom>
                    <a:noFill/>
                    <a:ln>
                      <a:noFill/>
                    </a:ln>
                  </pic:spPr>
                </pic:pic>
              </a:graphicData>
            </a:graphic>
          </wp:inline>
        </w:drawing>
      </w:r>
    </w:p>
    <w:p w14:paraId="6D00DEF1" w14:textId="2E7497CF"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4927C0">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Pr>
          <w:i/>
          <w:color w:val="auto"/>
          <w:sz w:val="20"/>
          <w:szCs w:val="20"/>
          <w:lang w:eastAsia="en-US"/>
        </w:rPr>
        <w:t>BiH.</w:t>
      </w:r>
    </w:p>
    <w:p w14:paraId="1F9EEEFC" w14:textId="33718C0B" w:rsidR="00765CE7" w:rsidRPr="005E2696" w:rsidRDefault="00B80ACE" w:rsidP="005E2696">
      <w:pPr>
        <w:ind w:left="142"/>
        <w:rPr>
          <w:color w:val="5B9BD5" w:themeColor="accent1"/>
        </w:rPr>
      </w:pPr>
      <w:r>
        <w:rPr>
          <w:color w:val="5B9BD5" w:themeColor="accent1"/>
        </w:rPr>
        <w:t xml:space="preserve"> </w:t>
      </w:r>
    </w:p>
    <w:p w14:paraId="2F430E5E" w14:textId="67624647" w:rsidR="00765CE7" w:rsidRDefault="00B80ACE">
      <w:pPr>
        <w:pStyle w:val="Heading3"/>
        <w:numPr>
          <w:ilvl w:val="2"/>
          <w:numId w:val="6"/>
        </w:numPr>
        <w:rPr>
          <w:rFonts w:ascii="Times New Roman" w:hAnsi="Times New Roman" w:cs="Times New Roman"/>
          <w:b/>
          <w:i/>
          <w:color w:val="auto"/>
        </w:rPr>
      </w:pPr>
      <w:bookmarkStart w:id="17" w:name="_Toc28010138"/>
      <w:r>
        <w:rPr>
          <w:rFonts w:ascii="Times New Roman" w:hAnsi="Times New Roman" w:cs="Times New Roman"/>
          <w:b/>
          <w:i/>
          <w:color w:val="auto"/>
        </w:rPr>
        <w:t xml:space="preserve">Izdate radne dozvole </w:t>
      </w:r>
      <w:r w:rsidR="00275AF4">
        <w:rPr>
          <w:rFonts w:ascii="Times New Roman" w:hAnsi="Times New Roman" w:cs="Times New Roman"/>
          <w:b/>
          <w:i/>
          <w:color w:val="auto"/>
        </w:rPr>
        <w:t xml:space="preserve">strancima </w:t>
      </w:r>
      <w:r>
        <w:rPr>
          <w:rFonts w:ascii="Times New Roman" w:hAnsi="Times New Roman" w:cs="Times New Roman"/>
          <w:b/>
          <w:i/>
          <w:color w:val="auto"/>
        </w:rPr>
        <w:t>prema kvotama</w:t>
      </w:r>
      <w:bookmarkEnd w:id="17"/>
    </w:p>
    <w:p w14:paraId="3A8AF74D" w14:textId="77777777" w:rsidR="00765CE7" w:rsidRDefault="00765CE7">
      <w:pPr>
        <w:ind w:left="137" w:right="36" w:firstLine="571"/>
        <w:rPr>
          <w:color w:val="5B9BD5" w:themeColor="accent1"/>
        </w:rPr>
      </w:pPr>
    </w:p>
    <w:p w14:paraId="6EF3CD5F" w14:textId="5DC644C2" w:rsidR="007C2A4F" w:rsidRDefault="007C2A4F" w:rsidP="00E626BE">
      <w:pPr>
        <w:ind w:firstLine="0"/>
        <w:rPr>
          <w:color w:val="auto"/>
          <w:szCs w:val="24"/>
          <w:lang w:val="sr-Latn-BA"/>
        </w:rPr>
      </w:pPr>
      <w:r>
        <w:t>U Bosni i Hercegovini u 2018. godini, ukupno je izdato 2.822 važeće radne dozvole i to</w:t>
      </w:r>
      <w:r>
        <w:rPr>
          <w:color w:val="FF0000"/>
        </w:rPr>
        <w:t xml:space="preserve"> </w:t>
      </w:r>
      <w:r>
        <w:t>1.044 radne dozvole koje se računaju u kvotu i 1.778 radnih dozvola izdatih nezavisno od utvrđene kvote, u skladu sa članom 63. Zakona o strancima</w:t>
      </w:r>
      <w:r w:rsidR="00742DD4">
        <w:rPr>
          <w:rFonts w:ascii="Arial" w:hAnsi="Arial" w:cs="Arial"/>
          <w:lang w:val="sr-Latn-BA" w:eastAsia="sr-Latn-BA"/>
        </w:rPr>
        <w:t xml:space="preserve">. </w:t>
      </w:r>
      <w:r>
        <w:t>Od toga u</w:t>
      </w:r>
      <w:r>
        <w:rPr>
          <w:color w:val="FF0000"/>
        </w:rPr>
        <w:t xml:space="preserve"> </w:t>
      </w:r>
      <w:r>
        <w:t xml:space="preserve">Federaciji Bosne i Hercegovine </w:t>
      </w:r>
      <w:r>
        <w:lastRenderedPageBreak/>
        <w:t>ukupno je izdato 1.806 radnih dozvola (64,00%), od čega 474 koje se računaju u kvotu i 1.332 izdate nezavisno od utvrđene kvote, u Republici Srpskoj ukupno je</w:t>
      </w:r>
      <w:r>
        <w:rPr>
          <w:color w:val="FF0000"/>
        </w:rPr>
        <w:t xml:space="preserve"> </w:t>
      </w:r>
      <w:r>
        <w:t xml:space="preserve">izdata 881 radna dozvola (31,22%) i to 564 koje se računaju u kvotu i 317 izdatih nezavisno od utvrđene kvote, a u Brčko </w:t>
      </w:r>
      <w:r w:rsidR="006143F0">
        <w:t>Distriktu</w:t>
      </w:r>
      <w:r w:rsidR="00127A59">
        <w:t xml:space="preserve"> </w:t>
      </w:r>
      <w:r>
        <w:t>BiH ukupno je izdato 135 radnih dozvola (4,78%), 6 koje se računaju u kvotu i 129 izdatih nezavisno od utvrđene kvote.</w:t>
      </w:r>
      <w:r>
        <w:rPr>
          <w:lang w:val="sr-Latn-BA"/>
        </w:rPr>
        <w:t xml:space="preserve"> Ovakav odnos u izdatim radnim doz</w:t>
      </w:r>
      <w:r w:rsidR="001818E9">
        <w:rPr>
          <w:lang w:val="sr-Latn-BA"/>
        </w:rPr>
        <w:t>volama između entiteta i Brčko D</w:t>
      </w:r>
      <w:r>
        <w:rPr>
          <w:lang w:val="sr-Latn-BA"/>
        </w:rPr>
        <w:t>itrikta BiH prisutan je i u ranijim godinama.</w:t>
      </w:r>
    </w:p>
    <w:p w14:paraId="6B41F6F2" w14:textId="5CA8DFF9" w:rsidR="00765CE7" w:rsidRDefault="00B80ACE">
      <w:pPr>
        <w:ind w:right="36"/>
        <w:rPr>
          <w:color w:val="auto"/>
        </w:rPr>
      </w:pPr>
      <w:r>
        <w:rPr>
          <w:color w:val="auto"/>
        </w:rPr>
        <w:t xml:space="preserve">U </w:t>
      </w:r>
      <w:r w:rsidR="00B011C8">
        <w:rPr>
          <w:color w:val="auto"/>
        </w:rPr>
        <w:t>t</w:t>
      </w:r>
      <w:r w:rsidRPr="00B011C8">
        <w:rPr>
          <w:color w:val="auto"/>
        </w:rPr>
        <w:t xml:space="preserve">abeli </w:t>
      </w:r>
      <w:r w:rsidR="00B011C8" w:rsidRPr="00B011C8">
        <w:rPr>
          <w:color w:val="auto"/>
        </w:rPr>
        <w:t>9</w:t>
      </w:r>
      <w:r w:rsidRPr="00B011C8">
        <w:rPr>
          <w:color w:val="auto"/>
        </w:rPr>
        <w:t>.</w:t>
      </w:r>
      <w:r>
        <w:rPr>
          <w:color w:val="auto"/>
        </w:rPr>
        <w:t xml:space="preserve"> je pregled ukupno izdatih radnih dozvola </w:t>
      </w:r>
      <w:r w:rsidR="00153330">
        <w:rPr>
          <w:color w:val="auto"/>
        </w:rPr>
        <w:t xml:space="preserve">strancima </w:t>
      </w:r>
      <w:r>
        <w:rPr>
          <w:color w:val="auto"/>
        </w:rPr>
        <w:t>u Bosni i Hercegovini koje se računaju u kvotu i onih izdatih nezavisno od utvrđene kvote razvrstanih prema djelatnostima.</w:t>
      </w:r>
    </w:p>
    <w:p w14:paraId="243C9F5C" w14:textId="77777777" w:rsidR="008C50B1" w:rsidRDefault="008C50B1">
      <w:pPr>
        <w:ind w:right="36"/>
        <w:rPr>
          <w:color w:val="auto"/>
        </w:rPr>
      </w:pPr>
    </w:p>
    <w:p w14:paraId="5CAB99CD" w14:textId="55A52D4C" w:rsidR="00765CE7" w:rsidRPr="00BD203B" w:rsidRDefault="00B80ACE" w:rsidP="00BD203B">
      <w:pPr>
        <w:rPr>
          <w:i/>
          <w:sz w:val="22"/>
        </w:rPr>
      </w:pPr>
      <w:r w:rsidRPr="00B011C8">
        <w:rPr>
          <w:b/>
          <w:i/>
          <w:sz w:val="22"/>
        </w:rPr>
        <w:t>Tabela</w:t>
      </w:r>
      <w:r w:rsidR="00B011C8" w:rsidRPr="00B011C8">
        <w:rPr>
          <w:b/>
          <w:i/>
          <w:sz w:val="22"/>
        </w:rPr>
        <w:t xml:space="preserve"> 9</w:t>
      </w:r>
      <w:r w:rsidRPr="00B011C8">
        <w:rPr>
          <w:b/>
          <w:i/>
          <w:sz w:val="22"/>
        </w:rPr>
        <w:t>.</w:t>
      </w:r>
      <w:r w:rsidR="00E626BE" w:rsidRPr="00B011C8">
        <w:rPr>
          <w:b/>
          <w:i/>
          <w:sz w:val="22"/>
        </w:rPr>
        <w:t xml:space="preserve"> </w:t>
      </w:r>
      <w:r w:rsidR="007C2A4F" w:rsidRPr="00BD203B">
        <w:rPr>
          <w:b/>
          <w:i/>
          <w:sz w:val="22"/>
        </w:rPr>
        <w:t>Radne dozvole izdate strancima u 2018. godini prema djelatnostima-ukupno, kvota i one koje ne ulaze u kvotu</w:t>
      </w:r>
      <w:r w:rsidRPr="00BD203B">
        <w:rPr>
          <w:i/>
          <w:sz w:val="22"/>
        </w:rPr>
        <w:tab/>
      </w:r>
      <w:r w:rsidR="00E626BE">
        <w:rPr>
          <w:i/>
          <w:sz w:val="22"/>
        </w:rPr>
        <w:t xml:space="preserve">  </w:t>
      </w:r>
    </w:p>
    <w:p w14:paraId="3E382750" w14:textId="6D9C9BEA" w:rsidR="00765CE7" w:rsidRDefault="007C2A4F">
      <w:pPr>
        <w:rPr>
          <w:color w:val="auto"/>
        </w:rPr>
      </w:pPr>
      <w:r>
        <w:rPr>
          <w:lang w:val="en-US" w:eastAsia="en-US"/>
        </w:rPr>
        <w:drawing>
          <wp:inline distT="0" distB="0" distL="0" distR="0" wp14:anchorId="0860356E" wp14:editId="4350691A">
            <wp:extent cx="5760199" cy="533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168" cy="5339025"/>
                    </a:xfrm>
                    <a:prstGeom prst="rect">
                      <a:avLst/>
                    </a:prstGeom>
                    <a:noFill/>
                    <a:ln>
                      <a:noFill/>
                    </a:ln>
                  </pic:spPr>
                </pic:pic>
              </a:graphicData>
            </a:graphic>
          </wp:inline>
        </w:drawing>
      </w:r>
    </w:p>
    <w:p w14:paraId="0B48F9BD" w14:textId="1E74BA7E" w:rsidR="00915422" w:rsidRPr="00915422" w:rsidRDefault="00915422" w:rsidP="00915422">
      <w:pPr>
        <w:ind w:left="0" w:firstLine="0"/>
        <w:rPr>
          <w:i/>
          <w:color w:val="auto"/>
          <w:sz w:val="20"/>
          <w:szCs w:val="20"/>
          <w:lang w:eastAsia="en-US"/>
        </w:rPr>
      </w:pPr>
      <w:r w:rsidRPr="00915422">
        <w:rPr>
          <w:b/>
          <w:i/>
          <w:color w:val="auto"/>
          <w:sz w:val="20"/>
          <w:szCs w:val="20"/>
          <w:lang w:eastAsia="en-US"/>
        </w:rPr>
        <w:t>Izvor:</w:t>
      </w:r>
      <w:r w:rsidRPr="00915422">
        <w:rPr>
          <w:i/>
          <w:color w:val="auto"/>
          <w:sz w:val="20"/>
          <w:szCs w:val="20"/>
          <w:lang w:eastAsia="en-US"/>
        </w:rPr>
        <w:t xml:space="preserve"> </w:t>
      </w:r>
      <w:r>
        <w:rPr>
          <w:i/>
          <w:color w:val="auto"/>
          <w:sz w:val="20"/>
          <w:szCs w:val="20"/>
          <w:lang w:eastAsia="en-US"/>
        </w:rPr>
        <w:t xml:space="preserve">Agencija za rad i zapošljavanje BiH, Federalni zavod za zapošljavanje, </w:t>
      </w:r>
      <w:r w:rsidR="00E626BE">
        <w:rPr>
          <w:i/>
          <w:color w:val="auto"/>
          <w:sz w:val="20"/>
          <w:szCs w:val="20"/>
          <w:lang w:eastAsia="en-US"/>
        </w:rPr>
        <w:t xml:space="preserve">JU </w:t>
      </w:r>
      <w:r>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Pr>
          <w:i/>
          <w:color w:val="auto"/>
          <w:sz w:val="20"/>
          <w:szCs w:val="20"/>
          <w:lang w:eastAsia="en-US"/>
        </w:rPr>
        <w:t>BiH.</w:t>
      </w:r>
    </w:p>
    <w:p w14:paraId="09A17AB1" w14:textId="77777777" w:rsidR="00765CE7" w:rsidRDefault="00765CE7" w:rsidP="00852649">
      <w:pPr>
        <w:ind w:left="0" w:firstLine="0"/>
        <w:rPr>
          <w:color w:val="auto"/>
        </w:rPr>
      </w:pPr>
    </w:p>
    <w:p w14:paraId="3DB48028" w14:textId="6AC53EA2" w:rsidR="007C2A4F" w:rsidRDefault="007C2A4F" w:rsidP="007C2A4F">
      <w:pPr>
        <w:ind w:firstLine="0"/>
        <w:rPr>
          <w:color w:val="auto"/>
          <w:szCs w:val="24"/>
        </w:rPr>
      </w:pPr>
      <w:r>
        <w:t xml:space="preserve">Upoređujući izdate radne dozvole sa predloženom kvotom u 2018. godini, evidentno je da je popunjenost kvote za ukupno izdate radne dozvole </w:t>
      </w:r>
      <w:r w:rsidR="000205A0">
        <w:t xml:space="preserve">strancima </w:t>
      </w:r>
      <w:r>
        <w:t xml:space="preserve">u BiH bila 66%, od čega je za nove radne dozvole popunjenost kvote bila 82%. U Federaciji BiH popunjenost kvote za ukupno izdate radne dozvole u 2018. godini bila je 53%, u Republici Srpskoj 94%, a u Brčko </w:t>
      </w:r>
      <w:r w:rsidR="006143F0">
        <w:t>Distriktu</w:t>
      </w:r>
      <w:r w:rsidR="00127A59">
        <w:t xml:space="preserve"> </w:t>
      </w:r>
      <w:r>
        <w:t>BiH svega 7%.</w:t>
      </w:r>
    </w:p>
    <w:p w14:paraId="6A736410" w14:textId="77777777" w:rsidR="00567038" w:rsidRPr="00D27213" w:rsidRDefault="00567038" w:rsidP="00D27213">
      <w:pPr>
        <w:ind w:firstLine="0"/>
        <w:rPr>
          <w:color w:val="auto"/>
        </w:rPr>
      </w:pPr>
    </w:p>
    <w:p w14:paraId="15FD9703" w14:textId="4F8CAD05" w:rsidR="00765CE7" w:rsidRDefault="00B80ACE">
      <w:pPr>
        <w:pStyle w:val="Heading3"/>
        <w:numPr>
          <w:ilvl w:val="2"/>
          <w:numId w:val="6"/>
        </w:numPr>
        <w:rPr>
          <w:rFonts w:ascii="Times New Roman" w:hAnsi="Times New Roman" w:cs="Times New Roman"/>
          <w:b/>
          <w:i/>
          <w:color w:val="auto"/>
        </w:rPr>
      </w:pPr>
      <w:bookmarkStart w:id="18" w:name="_Toc28010139"/>
      <w:r>
        <w:rPr>
          <w:rFonts w:ascii="Times New Roman" w:hAnsi="Times New Roman" w:cs="Times New Roman"/>
          <w:b/>
          <w:i/>
          <w:color w:val="auto"/>
        </w:rPr>
        <w:t>Uticaj broja zaposlenih stranaca na tržište rada u B</w:t>
      </w:r>
      <w:r w:rsidR="00006D45">
        <w:rPr>
          <w:rFonts w:ascii="Times New Roman" w:hAnsi="Times New Roman" w:cs="Times New Roman"/>
          <w:b/>
          <w:i/>
          <w:color w:val="auto"/>
        </w:rPr>
        <w:t xml:space="preserve">osni </w:t>
      </w:r>
      <w:r>
        <w:rPr>
          <w:rFonts w:ascii="Times New Roman" w:hAnsi="Times New Roman" w:cs="Times New Roman"/>
          <w:b/>
          <w:i/>
          <w:color w:val="auto"/>
        </w:rPr>
        <w:t>i</w:t>
      </w:r>
      <w:r w:rsidR="00006D45">
        <w:rPr>
          <w:rFonts w:ascii="Times New Roman" w:hAnsi="Times New Roman" w:cs="Times New Roman"/>
          <w:b/>
          <w:i/>
          <w:color w:val="auto"/>
        </w:rPr>
        <w:t xml:space="preserve"> </w:t>
      </w:r>
      <w:r>
        <w:rPr>
          <w:rFonts w:ascii="Times New Roman" w:hAnsi="Times New Roman" w:cs="Times New Roman"/>
          <w:b/>
          <w:i/>
          <w:color w:val="auto"/>
        </w:rPr>
        <w:t>H</w:t>
      </w:r>
      <w:r w:rsidR="00006D45">
        <w:rPr>
          <w:rFonts w:ascii="Times New Roman" w:hAnsi="Times New Roman" w:cs="Times New Roman"/>
          <w:b/>
          <w:i/>
          <w:color w:val="auto"/>
        </w:rPr>
        <w:t>ercegovini</w:t>
      </w:r>
      <w:bookmarkEnd w:id="18"/>
      <w:r>
        <w:rPr>
          <w:rFonts w:ascii="Times New Roman" w:hAnsi="Times New Roman" w:cs="Times New Roman"/>
          <w:b/>
          <w:i/>
          <w:color w:val="auto"/>
        </w:rPr>
        <w:t xml:space="preserve"> </w:t>
      </w:r>
    </w:p>
    <w:p w14:paraId="3C971A11" w14:textId="77777777" w:rsidR="00765CE7" w:rsidRDefault="00765CE7">
      <w:pPr>
        <w:rPr>
          <w:color w:val="auto"/>
        </w:rPr>
      </w:pPr>
    </w:p>
    <w:p w14:paraId="21F1A4E2" w14:textId="7B4D370D" w:rsidR="00C93391" w:rsidRDefault="00B80ACE" w:rsidP="00C93391">
      <w:pPr>
        <w:ind w:firstLine="0"/>
        <w:rPr>
          <w:color w:val="auto"/>
          <w:szCs w:val="24"/>
        </w:rPr>
      </w:pPr>
      <w:r>
        <w:rPr>
          <w:color w:val="auto"/>
        </w:rPr>
        <w:t>Na osnovu podataka navedenih</w:t>
      </w:r>
      <w:r w:rsidR="006A59C3">
        <w:rPr>
          <w:color w:val="auto"/>
        </w:rPr>
        <w:t xml:space="preserve"> </w:t>
      </w:r>
      <w:r>
        <w:rPr>
          <w:color w:val="auto"/>
        </w:rPr>
        <w:t xml:space="preserve">u </w:t>
      </w:r>
      <w:r w:rsidRPr="000F6589">
        <w:rPr>
          <w:color w:val="auto"/>
        </w:rPr>
        <w:t xml:space="preserve">tabeli </w:t>
      </w:r>
      <w:r w:rsidR="006A59C3" w:rsidRPr="000F6589">
        <w:rPr>
          <w:color w:val="auto"/>
        </w:rPr>
        <w:t>1</w:t>
      </w:r>
      <w:r w:rsidR="000F6589" w:rsidRPr="000F6589">
        <w:rPr>
          <w:color w:val="auto"/>
        </w:rPr>
        <w:t>0</w:t>
      </w:r>
      <w:r w:rsidR="000D1C37">
        <w:rPr>
          <w:color w:val="auto"/>
        </w:rPr>
        <w:t xml:space="preserve"> </w:t>
      </w:r>
      <w:r w:rsidR="00C93391" w:rsidRPr="00C93391">
        <w:rPr>
          <w:color w:val="auto"/>
        </w:rPr>
        <w:t xml:space="preserve">gdje je prikazan </w:t>
      </w:r>
      <w:r w:rsidR="00C93391">
        <w:t>odnos broja registrovanih zaposlenih lica (prosjek godine) u BiH</w:t>
      </w:r>
      <w:r w:rsidR="00C93391">
        <w:rPr>
          <w:color w:val="FF0000"/>
        </w:rPr>
        <w:t xml:space="preserve"> </w:t>
      </w:r>
      <w:r w:rsidR="00C93391">
        <w:t xml:space="preserve">i pregled ukupno izdatih radnih dozvola </w:t>
      </w:r>
      <w:r w:rsidR="000205A0">
        <w:t xml:space="preserve">strancima </w:t>
      </w:r>
      <w:r w:rsidR="00C93391">
        <w:t xml:space="preserve">u BiH, vidimo da je udio zaposlenih stranaca u BiH iskazan u broju izdatih radnih dozvola u odnosu na ukupan broj zaposlenih lica u BiH veoma mali, i iznosi svega 0,4% za 2018. godinu. </w:t>
      </w:r>
    </w:p>
    <w:p w14:paraId="40AD16F8" w14:textId="0CD9FDFE" w:rsidR="00765CE7" w:rsidRDefault="00765CE7" w:rsidP="00C93391">
      <w:pPr>
        <w:ind w:firstLine="0"/>
        <w:rPr>
          <w:color w:val="auto"/>
          <w:sz w:val="22"/>
        </w:rPr>
      </w:pPr>
    </w:p>
    <w:p w14:paraId="4B56FDBD" w14:textId="42B4CAEA" w:rsidR="00765CE7" w:rsidRDefault="00B80ACE">
      <w:pPr>
        <w:ind w:left="851" w:hanging="851"/>
        <w:rPr>
          <w:b/>
          <w:i/>
          <w:color w:val="auto"/>
          <w:sz w:val="22"/>
        </w:rPr>
      </w:pPr>
      <w:r w:rsidRPr="000F6589">
        <w:rPr>
          <w:b/>
          <w:i/>
          <w:color w:val="auto"/>
          <w:sz w:val="22"/>
        </w:rPr>
        <w:t>Tabela 1</w:t>
      </w:r>
      <w:r w:rsidR="000F6589" w:rsidRPr="000F6589">
        <w:rPr>
          <w:b/>
          <w:i/>
          <w:color w:val="auto"/>
          <w:sz w:val="22"/>
        </w:rPr>
        <w:t>0</w:t>
      </w:r>
      <w:r w:rsidRPr="000F6589">
        <w:rPr>
          <w:b/>
          <w:i/>
          <w:color w:val="auto"/>
          <w:sz w:val="22"/>
        </w:rPr>
        <w:t>.</w:t>
      </w:r>
      <w:r w:rsidR="000D1C37" w:rsidRPr="000F6589">
        <w:rPr>
          <w:b/>
          <w:i/>
          <w:color w:val="auto"/>
          <w:sz w:val="22"/>
        </w:rPr>
        <w:t xml:space="preserve"> </w:t>
      </w:r>
      <w:r w:rsidR="006A59C3" w:rsidRPr="006A59C3">
        <w:rPr>
          <w:b/>
          <w:i/>
          <w:sz w:val="22"/>
        </w:rPr>
        <w:t>Udio broja zaposlenih stranaca u BiH u odnosu na prosječan broj zaposlenih lica u BiH</w:t>
      </w:r>
      <w:r w:rsidR="006A59C3">
        <w:rPr>
          <w:sz w:val="22"/>
        </w:rPr>
        <w:t>-</w:t>
      </w:r>
      <w:r w:rsidR="006A59C3" w:rsidRPr="00C93391">
        <w:rPr>
          <w:b/>
          <w:i/>
          <w:sz w:val="22"/>
        </w:rPr>
        <w:t>2017. i 2018. godina</w:t>
      </w:r>
    </w:p>
    <w:tbl>
      <w:tblPr>
        <w:tblW w:w="9680" w:type="dxa"/>
        <w:tblInd w:w="108" w:type="dxa"/>
        <w:tblLook w:val="04A0" w:firstRow="1" w:lastRow="0" w:firstColumn="1" w:lastColumn="0" w:noHBand="0" w:noVBand="1"/>
      </w:tblPr>
      <w:tblGrid>
        <w:gridCol w:w="4086"/>
        <w:gridCol w:w="2468"/>
        <w:gridCol w:w="3126"/>
      </w:tblGrid>
      <w:tr w:rsidR="00C93391" w14:paraId="38C62DF3" w14:textId="77777777" w:rsidTr="00C93391">
        <w:trPr>
          <w:trHeight w:val="639"/>
        </w:trPr>
        <w:tc>
          <w:tcPr>
            <w:tcW w:w="9680" w:type="dxa"/>
            <w:gridSpan w:val="3"/>
            <w:tcBorders>
              <w:top w:val="single" w:sz="4" w:space="0" w:color="auto"/>
              <w:left w:val="nil"/>
              <w:bottom w:val="single" w:sz="4" w:space="0" w:color="auto"/>
              <w:right w:val="nil"/>
            </w:tcBorders>
            <w:shd w:val="clear" w:color="auto" w:fill="D9D9D9"/>
            <w:vAlign w:val="bottom"/>
            <w:hideMark/>
          </w:tcPr>
          <w:p w14:paraId="49F61220" w14:textId="77777777" w:rsidR="00C93391" w:rsidRDefault="00C93391">
            <w:pPr>
              <w:jc w:val="center"/>
              <w:rPr>
                <w:b/>
                <w:bCs/>
                <w:sz w:val="20"/>
                <w:szCs w:val="20"/>
              </w:rPr>
            </w:pPr>
            <w:r>
              <w:rPr>
                <w:b/>
                <w:bCs/>
                <w:sz w:val="20"/>
                <w:szCs w:val="20"/>
              </w:rPr>
              <w:t xml:space="preserve">UDIO BROJA ZAPOSLENIH STRANACA U BIH U ODNOSU NA PROSJEČAN BROJ </w:t>
            </w:r>
          </w:p>
          <w:p w14:paraId="002223DB" w14:textId="77777777" w:rsidR="00C93391" w:rsidRDefault="00C93391">
            <w:pPr>
              <w:jc w:val="center"/>
              <w:rPr>
                <w:b/>
                <w:bCs/>
                <w:sz w:val="20"/>
                <w:szCs w:val="20"/>
              </w:rPr>
            </w:pPr>
            <w:r>
              <w:rPr>
                <w:b/>
                <w:bCs/>
                <w:sz w:val="20"/>
                <w:szCs w:val="20"/>
              </w:rPr>
              <w:t>ZAPOSLENIH LICA U BIH - 2017. I 2018. GODINA</w:t>
            </w:r>
          </w:p>
        </w:tc>
      </w:tr>
      <w:tr w:rsidR="00C93391" w14:paraId="70A432AE" w14:textId="77777777" w:rsidTr="00C93391">
        <w:trPr>
          <w:trHeight w:val="216"/>
        </w:trPr>
        <w:tc>
          <w:tcPr>
            <w:tcW w:w="4086" w:type="dxa"/>
            <w:noWrap/>
            <w:vAlign w:val="bottom"/>
            <w:hideMark/>
          </w:tcPr>
          <w:p w14:paraId="25DD8F42" w14:textId="77777777" w:rsidR="00C93391" w:rsidRDefault="00C93391">
            <w:pPr>
              <w:rPr>
                <w:b/>
                <w:bCs/>
                <w:sz w:val="20"/>
                <w:szCs w:val="20"/>
              </w:rPr>
            </w:pPr>
          </w:p>
        </w:tc>
        <w:tc>
          <w:tcPr>
            <w:tcW w:w="2468" w:type="dxa"/>
            <w:noWrap/>
            <w:vAlign w:val="bottom"/>
            <w:hideMark/>
          </w:tcPr>
          <w:p w14:paraId="3FCD9FE2" w14:textId="77777777" w:rsidR="00C93391" w:rsidRDefault="00C93391">
            <w:pPr>
              <w:rPr>
                <w:sz w:val="20"/>
                <w:szCs w:val="20"/>
              </w:rPr>
            </w:pPr>
          </w:p>
        </w:tc>
        <w:tc>
          <w:tcPr>
            <w:tcW w:w="3126" w:type="dxa"/>
            <w:noWrap/>
            <w:vAlign w:val="bottom"/>
            <w:hideMark/>
          </w:tcPr>
          <w:p w14:paraId="4E7B70D3" w14:textId="77777777" w:rsidR="00C93391" w:rsidRDefault="00C93391">
            <w:pPr>
              <w:rPr>
                <w:sz w:val="20"/>
                <w:szCs w:val="20"/>
              </w:rPr>
            </w:pPr>
          </w:p>
        </w:tc>
      </w:tr>
      <w:tr w:rsidR="00C93391" w14:paraId="23634D88" w14:textId="77777777" w:rsidTr="00C93391">
        <w:trPr>
          <w:trHeight w:val="237"/>
        </w:trPr>
        <w:tc>
          <w:tcPr>
            <w:tcW w:w="4086" w:type="dxa"/>
            <w:tcBorders>
              <w:top w:val="single" w:sz="8" w:space="0" w:color="auto"/>
              <w:left w:val="single" w:sz="8" w:space="0" w:color="auto"/>
              <w:bottom w:val="single" w:sz="8" w:space="0" w:color="auto"/>
              <w:right w:val="single" w:sz="8" w:space="0" w:color="000000"/>
            </w:tcBorders>
            <w:shd w:val="clear" w:color="auto" w:fill="D9D9D9"/>
            <w:vAlign w:val="center"/>
            <w:hideMark/>
          </w:tcPr>
          <w:p w14:paraId="663929DB" w14:textId="77777777" w:rsidR="00C93391" w:rsidRDefault="00C93391">
            <w:pPr>
              <w:rPr>
                <w:b/>
                <w:bCs/>
                <w:sz w:val="20"/>
                <w:szCs w:val="20"/>
                <w:lang w:val="hr-HR" w:eastAsia="hr-HR"/>
              </w:rPr>
            </w:pPr>
            <w:r>
              <w:rPr>
                <w:b/>
                <w:bCs/>
                <w:sz w:val="20"/>
                <w:szCs w:val="20"/>
              </w:rPr>
              <w:t> </w:t>
            </w:r>
          </w:p>
        </w:tc>
        <w:tc>
          <w:tcPr>
            <w:tcW w:w="2468" w:type="dxa"/>
            <w:tcBorders>
              <w:top w:val="single" w:sz="8" w:space="0" w:color="auto"/>
              <w:left w:val="nil"/>
              <w:bottom w:val="single" w:sz="8" w:space="0" w:color="auto"/>
              <w:right w:val="single" w:sz="8" w:space="0" w:color="auto"/>
            </w:tcBorders>
            <w:shd w:val="clear" w:color="auto" w:fill="D9D9D9"/>
            <w:vAlign w:val="center"/>
            <w:hideMark/>
          </w:tcPr>
          <w:p w14:paraId="3A079F16" w14:textId="77777777" w:rsidR="00C93391" w:rsidRDefault="00C93391">
            <w:pPr>
              <w:jc w:val="center"/>
              <w:rPr>
                <w:b/>
                <w:bCs/>
                <w:sz w:val="20"/>
                <w:szCs w:val="20"/>
              </w:rPr>
            </w:pPr>
            <w:r>
              <w:rPr>
                <w:b/>
                <w:bCs/>
                <w:sz w:val="20"/>
                <w:szCs w:val="20"/>
              </w:rPr>
              <w:t>2017</w:t>
            </w:r>
          </w:p>
        </w:tc>
        <w:tc>
          <w:tcPr>
            <w:tcW w:w="3126" w:type="dxa"/>
            <w:tcBorders>
              <w:top w:val="single" w:sz="8" w:space="0" w:color="auto"/>
              <w:left w:val="nil"/>
              <w:bottom w:val="single" w:sz="8" w:space="0" w:color="auto"/>
              <w:right w:val="single" w:sz="8" w:space="0" w:color="auto"/>
            </w:tcBorders>
            <w:shd w:val="clear" w:color="auto" w:fill="D9D9D9"/>
            <w:vAlign w:val="center"/>
            <w:hideMark/>
          </w:tcPr>
          <w:p w14:paraId="516ED161" w14:textId="77777777" w:rsidR="00C93391" w:rsidRDefault="00C93391">
            <w:pPr>
              <w:jc w:val="center"/>
              <w:rPr>
                <w:b/>
                <w:bCs/>
                <w:sz w:val="20"/>
                <w:szCs w:val="20"/>
              </w:rPr>
            </w:pPr>
            <w:r>
              <w:rPr>
                <w:b/>
                <w:bCs/>
                <w:sz w:val="20"/>
                <w:szCs w:val="20"/>
              </w:rPr>
              <w:t>2018</w:t>
            </w:r>
          </w:p>
        </w:tc>
      </w:tr>
      <w:tr w:rsidR="00C93391" w14:paraId="04C420A2" w14:textId="77777777" w:rsidTr="00C93391">
        <w:trPr>
          <w:trHeight w:val="350"/>
        </w:trPr>
        <w:tc>
          <w:tcPr>
            <w:tcW w:w="4086" w:type="dxa"/>
            <w:tcBorders>
              <w:top w:val="nil"/>
              <w:left w:val="single" w:sz="8" w:space="0" w:color="auto"/>
              <w:bottom w:val="single" w:sz="4" w:space="0" w:color="auto"/>
              <w:right w:val="single" w:sz="4" w:space="0" w:color="auto"/>
            </w:tcBorders>
            <w:vAlign w:val="center"/>
            <w:hideMark/>
          </w:tcPr>
          <w:p w14:paraId="33A22556" w14:textId="77777777" w:rsidR="00C93391" w:rsidRDefault="00C93391">
            <w:pPr>
              <w:rPr>
                <w:sz w:val="20"/>
                <w:szCs w:val="20"/>
              </w:rPr>
            </w:pPr>
            <w:r>
              <w:rPr>
                <w:sz w:val="20"/>
                <w:szCs w:val="20"/>
              </w:rPr>
              <w:t>Broj zaposlenih lica (prosjek godine)</w:t>
            </w:r>
          </w:p>
        </w:tc>
        <w:tc>
          <w:tcPr>
            <w:tcW w:w="2468" w:type="dxa"/>
            <w:tcBorders>
              <w:top w:val="nil"/>
              <w:left w:val="nil"/>
              <w:bottom w:val="single" w:sz="4" w:space="0" w:color="auto"/>
              <w:right w:val="single" w:sz="8" w:space="0" w:color="auto"/>
            </w:tcBorders>
            <w:vAlign w:val="center"/>
            <w:hideMark/>
          </w:tcPr>
          <w:p w14:paraId="6E7F204B" w14:textId="77777777" w:rsidR="00C93391" w:rsidRDefault="00C93391">
            <w:pPr>
              <w:jc w:val="center"/>
              <w:rPr>
                <w:color w:val="auto"/>
                <w:sz w:val="20"/>
                <w:szCs w:val="20"/>
              </w:rPr>
            </w:pPr>
            <w:r>
              <w:rPr>
                <w:sz w:val="20"/>
                <w:szCs w:val="20"/>
              </w:rPr>
              <w:t>746.332</w:t>
            </w:r>
          </w:p>
        </w:tc>
        <w:tc>
          <w:tcPr>
            <w:tcW w:w="3126" w:type="dxa"/>
            <w:tcBorders>
              <w:top w:val="nil"/>
              <w:left w:val="single" w:sz="4" w:space="0" w:color="auto"/>
              <w:bottom w:val="single" w:sz="4" w:space="0" w:color="auto"/>
              <w:right w:val="single" w:sz="8" w:space="0" w:color="auto"/>
            </w:tcBorders>
            <w:vAlign w:val="center"/>
            <w:hideMark/>
          </w:tcPr>
          <w:p w14:paraId="1E06C519" w14:textId="77777777" w:rsidR="00C93391" w:rsidRDefault="00C93391">
            <w:pPr>
              <w:jc w:val="center"/>
              <w:rPr>
                <w:sz w:val="20"/>
                <w:szCs w:val="20"/>
              </w:rPr>
            </w:pPr>
            <w:r>
              <w:rPr>
                <w:sz w:val="20"/>
                <w:szCs w:val="20"/>
              </w:rPr>
              <w:t>804.497</w:t>
            </w:r>
          </w:p>
        </w:tc>
      </w:tr>
      <w:tr w:rsidR="00C93391" w14:paraId="0EF30A7D" w14:textId="77777777" w:rsidTr="00C93391">
        <w:trPr>
          <w:trHeight w:val="360"/>
        </w:trPr>
        <w:tc>
          <w:tcPr>
            <w:tcW w:w="4086" w:type="dxa"/>
            <w:tcBorders>
              <w:top w:val="nil"/>
              <w:left w:val="single" w:sz="8" w:space="0" w:color="auto"/>
              <w:bottom w:val="single" w:sz="8" w:space="0" w:color="auto"/>
              <w:right w:val="single" w:sz="4" w:space="0" w:color="auto"/>
            </w:tcBorders>
            <w:vAlign w:val="center"/>
            <w:hideMark/>
          </w:tcPr>
          <w:p w14:paraId="7324A471" w14:textId="77777777" w:rsidR="00C93391" w:rsidRDefault="00C93391">
            <w:pPr>
              <w:rPr>
                <w:sz w:val="20"/>
                <w:szCs w:val="20"/>
              </w:rPr>
            </w:pPr>
            <w:r>
              <w:rPr>
                <w:sz w:val="20"/>
                <w:szCs w:val="20"/>
              </w:rPr>
              <w:t xml:space="preserve">Broj zaposlenih stranaca </w:t>
            </w:r>
          </w:p>
        </w:tc>
        <w:tc>
          <w:tcPr>
            <w:tcW w:w="2468" w:type="dxa"/>
            <w:tcBorders>
              <w:top w:val="nil"/>
              <w:left w:val="nil"/>
              <w:bottom w:val="single" w:sz="8" w:space="0" w:color="auto"/>
              <w:right w:val="single" w:sz="8" w:space="0" w:color="auto"/>
            </w:tcBorders>
            <w:vAlign w:val="center"/>
            <w:hideMark/>
          </w:tcPr>
          <w:p w14:paraId="5FC568BA" w14:textId="77777777" w:rsidR="00C93391" w:rsidRDefault="00C93391">
            <w:pPr>
              <w:jc w:val="center"/>
              <w:rPr>
                <w:sz w:val="20"/>
                <w:szCs w:val="20"/>
              </w:rPr>
            </w:pPr>
            <w:r>
              <w:rPr>
                <w:sz w:val="20"/>
                <w:szCs w:val="20"/>
              </w:rPr>
              <w:t>2.593</w:t>
            </w:r>
          </w:p>
        </w:tc>
        <w:tc>
          <w:tcPr>
            <w:tcW w:w="3126" w:type="dxa"/>
            <w:tcBorders>
              <w:top w:val="nil"/>
              <w:left w:val="single" w:sz="4" w:space="0" w:color="auto"/>
              <w:bottom w:val="single" w:sz="8" w:space="0" w:color="auto"/>
              <w:right w:val="single" w:sz="8" w:space="0" w:color="auto"/>
            </w:tcBorders>
            <w:vAlign w:val="center"/>
            <w:hideMark/>
          </w:tcPr>
          <w:p w14:paraId="334F9424" w14:textId="77777777" w:rsidR="00C93391" w:rsidRDefault="00C93391">
            <w:pPr>
              <w:jc w:val="center"/>
              <w:rPr>
                <w:sz w:val="20"/>
                <w:szCs w:val="20"/>
              </w:rPr>
            </w:pPr>
            <w:r>
              <w:rPr>
                <w:sz w:val="20"/>
                <w:szCs w:val="20"/>
              </w:rPr>
              <w:t>2.822</w:t>
            </w:r>
          </w:p>
        </w:tc>
      </w:tr>
      <w:tr w:rsidR="00C93391" w14:paraId="41E61D58" w14:textId="77777777" w:rsidTr="00C93391">
        <w:trPr>
          <w:trHeight w:val="113"/>
        </w:trPr>
        <w:tc>
          <w:tcPr>
            <w:tcW w:w="9680" w:type="dxa"/>
            <w:gridSpan w:val="3"/>
            <w:tcBorders>
              <w:top w:val="nil"/>
              <w:left w:val="nil"/>
              <w:bottom w:val="single" w:sz="8" w:space="0" w:color="000000"/>
              <w:right w:val="double" w:sz="6" w:space="0" w:color="000000"/>
            </w:tcBorders>
            <w:vAlign w:val="center"/>
            <w:hideMark/>
          </w:tcPr>
          <w:p w14:paraId="1CE615FC" w14:textId="77777777" w:rsidR="00C93391" w:rsidRDefault="00C93391">
            <w:pPr>
              <w:jc w:val="center"/>
              <w:rPr>
                <w:sz w:val="22"/>
              </w:rPr>
            </w:pPr>
            <w:r>
              <w:rPr>
                <w:sz w:val="22"/>
              </w:rPr>
              <w:t> </w:t>
            </w:r>
          </w:p>
        </w:tc>
      </w:tr>
      <w:tr w:rsidR="00C93391" w14:paraId="6B3410CB" w14:textId="77777777" w:rsidTr="00C93391">
        <w:trPr>
          <w:trHeight w:val="371"/>
        </w:trPr>
        <w:tc>
          <w:tcPr>
            <w:tcW w:w="4086" w:type="dxa"/>
            <w:tcBorders>
              <w:top w:val="nil"/>
              <w:left w:val="nil"/>
              <w:bottom w:val="single" w:sz="8" w:space="0" w:color="000000"/>
              <w:right w:val="single" w:sz="8" w:space="0" w:color="000000"/>
            </w:tcBorders>
            <w:shd w:val="clear" w:color="auto" w:fill="D9D9D9"/>
            <w:vAlign w:val="center"/>
            <w:hideMark/>
          </w:tcPr>
          <w:p w14:paraId="340086AC" w14:textId="77777777" w:rsidR="00C93391" w:rsidRDefault="00C93391">
            <w:pPr>
              <w:rPr>
                <w:b/>
                <w:bCs/>
                <w:sz w:val="20"/>
                <w:szCs w:val="20"/>
              </w:rPr>
            </w:pPr>
            <w:r>
              <w:rPr>
                <w:b/>
                <w:bCs/>
                <w:sz w:val="20"/>
                <w:szCs w:val="20"/>
              </w:rPr>
              <w:t>Udio zaposlenih stranaca u odnosu na prosječan broj zaposlenih (%)</w:t>
            </w:r>
          </w:p>
        </w:tc>
        <w:tc>
          <w:tcPr>
            <w:tcW w:w="2468" w:type="dxa"/>
            <w:tcBorders>
              <w:top w:val="nil"/>
              <w:left w:val="nil"/>
              <w:bottom w:val="single" w:sz="8" w:space="0" w:color="000000"/>
              <w:right w:val="single" w:sz="8" w:space="0" w:color="000000"/>
            </w:tcBorders>
            <w:shd w:val="clear" w:color="auto" w:fill="D9D9D9"/>
            <w:vAlign w:val="center"/>
            <w:hideMark/>
          </w:tcPr>
          <w:p w14:paraId="133B35D3" w14:textId="77777777" w:rsidR="00C93391" w:rsidRDefault="00C93391">
            <w:pPr>
              <w:jc w:val="center"/>
              <w:rPr>
                <w:b/>
                <w:bCs/>
                <w:sz w:val="20"/>
                <w:szCs w:val="20"/>
              </w:rPr>
            </w:pPr>
            <w:r>
              <w:rPr>
                <w:b/>
                <w:bCs/>
                <w:sz w:val="20"/>
                <w:szCs w:val="20"/>
              </w:rPr>
              <w:t>0,3</w:t>
            </w:r>
          </w:p>
        </w:tc>
        <w:tc>
          <w:tcPr>
            <w:tcW w:w="3126" w:type="dxa"/>
            <w:tcBorders>
              <w:top w:val="nil"/>
              <w:left w:val="nil"/>
              <w:bottom w:val="single" w:sz="8" w:space="0" w:color="000000"/>
              <w:right w:val="single" w:sz="8" w:space="0" w:color="000000"/>
            </w:tcBorders>
            <w:shd w:val="clear" w:color="auto" w:fill="D9D9D9"/>
            <w:vAlign w:val="center"/>
            <w:hideMark/>
          </w:tcPr>
          <w:p w14:paraId="618CA21D" w14:textId="77777777" w:rsidR="00C93391" w:rsidRDefault="00C93391">
            <w:pPr>
              <w:jc w:val="center"/>
              <w:rPr>
                <w:b/>
                <w:bCs/>
                <w:sz w:val="20"/>
                <w:szCs w:val="20"/>
              </w:rPr>
            </w:pPr>
            <w:r>
              <w:rPr>
                <w:b/>
                <w:bCs/>
                <w:sz w:val="20"/>
                <w:szCs w:val="20"/>
              </w:rPr>
              <w:t>0,4</w:t>
            </w:r>
          </w:p>
        </w:tc>
      </w:tr>
    </w:tbl>
    <w:p w14:paraId="1D8CFC04" w14:textId="2C809F36" w:rsidR="00915422" w:rsidRPr="00915422" w:rsidRDefault="00C93391" w:rsidP="00915422">
      <w:pPr>
        <w:ind w:left="0" w:firstLine="0"/>
        <w:rPr>
          <w:i/>
          <w:color w:val="auto"/>
          <w:sz w:val="20"/>
          <w:szCs w:val="20"/>
          <w:lang w:eastAsia="en-US"/>
        </w:rPr>
      </w:pPr>
      <w:r w:rsidRPr="00915422">
        <w:rPr>
          <w:b/>
          <w:i/>
          <w:color w:val="auto"/>
          <w:sz w:val="20"/>
          <w:szCs w:val="20"/>
          <w:lang w:eastAsia="en-US"/>
        </w:rPr>
        <w:t xml:space="preserve"> </w:t>
      </w:r>
      <w:r w:rsidR="00915422" w:rsidRPr="00915422">
        <w:rPr>
          <w:b/>
          <w:i/>
          <w:color w:val="auto"/>
          <w:sz w:val="20"/>
          <w:szCs w:val="20"/>
          <w:lang w:eastAsia="en-US"/>
        </w:rPr>
        <w:t>Izvor:</w:t>
      </w:r>
      <w:r w:rsidR="00915422" w:rsidRPr="00915422">
        <w:rPr>
          <w:i/>
          <w:color w:val="auto"/>
          <w:sz w:val="20"/>
          <w:szCs w:val="20"/>
          <w:lang w:eastAsia="en-US"/>
        </w:rPr>
        <w:t xml:space="preserve"> </w:t>
      </w:r>
      <w:r w:rsidR="00915422">
        <w:rPr>
          <w:i/>
          <w:color w:val="auto"/>
          <w:sz w:val="20"/>
          <w:szCs w:val="20"/>
          <w:lang w:eastAsia="en-US"/>
        </w:rPr>
        <w:t xml:space="preserve">Agencija za rad i zapošljavanje BiH, Federalni zavod za zapošljavanje, </w:t>
      </w:r>
      <w:r w:rsidR="000D1C37">
        <w:rPr>
          <w:i/>
          <w:color w:val="auto"/>
          <w:sz w:val="20"/>
          <w:szCs w:val="20"/>
          <w:lang w:eastAsia="en-US"/>
        </w:rPr>
        <w:t xml:space="preserve">JU </w:t>
      </w:r>
      <w:r w:rsidR="00915422">
        <w:rPr>
          <w:i/>
          <w:color w:val="auto"/>
          <w:sz w:val="20"/>
          <w:szCs w:val="20"/>
          <w:lang w:eastAsia="en-US"/>
        </w:rPr>
        <w:t xml:space="preserve">Zavod za zapošljavanje Republike Srpske i Zavod za zapošljavanje Brčko </w:t>
      </w:r>
      <w:r w:rsidR="006143F0">
        <w:rPr>
          <w:i/>
          <w:color w:val="auto"/>
          <w:sz w:val="20"/>
          <w:szCs w:val="20"/>
          <w:lang w:eastAsia="en-US"/>
        </w:rPr>
        <w:t>Distrikta</w:t>
      </w:r>
      <w:r w:rsidR="00127A59">
        <w:rPr>
          <w:i/>
          <w:color w:val="auto"/>
          <w:sz w:val="20"/>
          <w:szCs w:val="20"/>
          <w:lang w:eastAsia="en-US"/>
        </w:rPr>
        <w:t xml:space="preserve"> </w:t>
      </w:r>
      <w:r w:rsidR="00915422">
        <w:rPr>
          <w:i/>
          <w:color w:val="auto"/>
          <w:sz w:val="20"/>
          <w:szCs w:val="20"/>
          <w:lang w:eastAsia="en-US"/>
        </w:rPr>
        <w:t>BiH.</w:t>
      </w:r>
    </w:p>
    <w:p w14:paraId="44ACF361" w14:textId="77777777" w:rsidR="00765CE7" w:rsidRDefault="00765CE7">
      <w:pPr>
        <w:rPr>
          <w:color w:val="auto"/>
        </w:rPr>
      </w:pPr>
    </w:p>
    <w:p w14:paraId="01702868" w14:textId="77777777" w:rsidR="00C93391" w:rsidRDefault="00C93391" w:rsidP="00C93391">
      <w:pPr>
        <w:ind w:firstLine="0"/>
        <w:rPr>
          <w:color w:val="auto"/>
          <w:szCs w:val="24"/>
        </w:rPr>
      </w:pPr>
      <w:r>
        <w:t xml:space="preserve">Analizirajući navedeno, napominjemo da je udio broja zaposlenih stranaca u BiH u odnosu na prosječan broj zaposlenih lica u BiH i u proteklim godinama bio isti i kretao se od 0,3% do 0,4%, što je veoma malo, tako da možemo zaključiti da zapošljavanje strane radne snage nema kvantitativni uticaj na tržište rada u Bosni i Hercegovini. </w:t>
      </w:r>
    </w:p>
    <w:p w14:paraId="6C5C9925" w14:textId="77777777" w:rsidR="00765CE7" w:rsidRDefault="00765CE7">
      <w:pPr>
        <w:ind w:firstLine="708"/>
        <w:rPr>
          <w:color w:val="auto"/>
        </w:rPr>
      </w:pPr>
    </w:p>
    <w:p w14:paraId="376BFFD3" w14:textId="2B61DEAB" w:rsidR="00765CE7" w:rsidRDefault="00B80ACE">
      <w:pPr>
        <w:rPr>
          <w:rFonts w:eastAsia="SimSun"/>
          <w:b/>
          <w:color w:val="auto"/>
          <w:kern w:val="2"/>
          <w:szCs w:val="20"/>
          <w:lang w:val="sr-Cyrl-RS" w:eastAsia="zh-CN"/>
        </w:rPr>
      </w:pPr>
      <w:r>
        <w:rPr>
          <w:rFonts w:eastAsia="SimSun"/>
          <w:b/>
          <w:kern w:val="2"/>
          <w:szCs w:val="20"/>
          <w:lang w:eastAsia="zh-CN"/>
        </w:rPr>
        <w:t>Analizom</w:t>
      </w:r>
      <w:r>
        <w:rPr>
          <w:rFonts w:eastAsia="SimSun"/>
          <w:b/>
          <w:kern w:val="2"/>
          <w:szCs w:val="20"/>
          <w:lang w:val="sr-Cyrl-RS" w:eastAsia="zh-CN"/>
        </w:rPr>
        <w:t xml:space="preserve"> </w:t>
      </w:r>
      <w:r>
        <w:rPr>
          <w:rFonts w:eastAsia="SimSun"/>
          <w:b/>
          <w:kern w:val="2"/>
          <w:szCs w:val="20"/>
          <w:lang w:eastAsia="zh-CN"/>
        </w:rPr>
        <w:t xml:space="preserve">podataka </w:t>
      </w:r>
      <w:r>
        <w:rPr>
          <w:rFonts w:eastAsia="SimSun"/>
          <w:b/>
          <w:kern w:val="2"/>
          <w:szCs w:val="20"/>
          <w:lang w:val="sr-Cyrl-RS" w:eastAsia="zh-CN"/>
        </w:rPr>
        <w:t xml:space="preserve">o zaposlenim </w:t>
      </w:r>
      <w:r w:rsidR="000205A0">
        <w:rPr>
          <w:rFonts w:eastAsia="SimSun"/>
          <w:b/>
          <w:kern w:val="2"/>
          <w:szCs w:val="20"/>
          <w:lang w:eastAsia="zh-CN"/>
        </w:rPr>
        <w:t xml:space="preserve">strancima </w:t>
      </w:r>
      <w:r>
        <w:rPr>
          <w:rFonts w:eastAsia="SimSun"/>
          <w:b/>
          <w:kern w:val="2"/>
          <w:szCs w:val="20"/>
          <w:lang w:val="sr-Cyrl-RS" w:eastAsia="zh-CN"/>
        </w:rPr>
        <w:t xml:space="preserve">u </w:t>
      </w:r>
      <w:r w:rsidR="00061131">
        <w:rPr>
          <w:rFonts w:eastAsia="SimSun"/>
          <w:b/>
          <w:kern w:val="2"/>
          <w:szCs w:val="20"/>
          <w:lang w:eastAsia="zh-CN"/>
        </w:rPr>
        <w:t>BiH iz 2018</w:t>
      </w:r>
      <w:r>
        <w:rPr>
          <w:rFonts w:eastAsia="SimSun"/>
          <w:b/>
          <w:kern w:val="2"/>
          <w:szCs w:val="20"/>
          <w:lang w:eastAsia="zh-CN"/>
        </w:rPr>
        <w:t>. godine,</w:t>
      </w:r>
      <w:r>
        <w:rPr>
          <w:rFonts w:eastAsia="SimSun"/>
          <w:b/>
          <w:kern w:val="2"/>
          <w:szCs w:val="20"/>
          <w:lang w:val="sr-Cyrl-RS" w:eastAsia="zh-CN"/>
        </w:rPr>
        <w:t xml:space="preserve"> može se </w:t>
      </w:r>
      <w:r>
        <w:rPr>
          <w:rFonts w:eastAsia="SimSun"/>
          <w:b/>
          <w:kern w:val="2"/>
          <w:szCs w:val="20"/>
          <w:lang w:eastAsia="zh-CN"/>
        </w:rPr>
        <w:t>izdvojiti</w:t>
      </w:r>
      <w:r>
        <w:rPr>
          <w:rFonts w:eastAsia="SimSun"/>
          <w:b/>
          <w:kern w:val="2"/>
          <w:szCs w:val="20"/>
          <w:lang w:val="sr-Cyrl-RS" w:eastAsia="zh-CN"/>
        </w:rPr>
        <w:t xml:space="preserve"> slijedeće:</w:t>
      </w:r>
    </w:p>
    <w:p w14:paraId="07ACF672" w14:textId="3D7AA19B" w:rsidR="00C93391" w:rsidRDefault="00C93391" w:rsidP="00C93391">
      <w:pPr>
        <w:numPr>
          <w:ilvl w:val="0"/>
          <w:numId w:val="7"/>
        </w:numPr>
        <w:spacing w:after="0" w:line="240" w:lineRule="auto"/>
        <w:ind w:right="0"/>
        <w:rPr>
          <w:color w:val="auto"/>
          <w:szCs w:val="24"/>
        </w:rPr>
      </w:pPr>
      <w:r>
        <w:t>U Bosni i Hercegovini u 2018. godini povećan je broj izdatih radnih dozvola strancima u odnosu na 2017. godinu za 8,83%, međutim ovaj broj svakako nema značajniji uticaj na kretanja na tržištu rada u Bosni i Hercegovini.</w:t>
      </w:r>
    </w:p>
    <w:p w14:paraId="117717D5" w14:textId="5B2D0D29" w:rsidR="00C93391" w:rsidRDefault="00C93391" w:rsidP="00C93391">
      <w:pPr>
        <w:numPr>
          <w:ilvl w:val="0"/>
          <w:numId w:val="7"/>
        </w:numPr>
        <w:spacing w:after="0" w:line="240" w:lineRule="auto"/>
        <w:ind w:right="0"/>
      </w:pPr>
      <w:r>
        <w:t>Prema državama porijekla, najviše stranaca koji rade u BiH u 2018. godini je iz:</w:t>
      </w:r>
      <w:r>
        <w:rPr>
          <w:color w:val="FF0000"/>
        </w:rPr>
        <w:t xml:space="preserve"> </w:t>
      </w:r>
      <w:r>
        <w:rPr>
          <w:rFonts w:eastAsia="SimSun"/>
          <w:kern w:val="2"/>
          <w:szCs w:val="20"/>
          <w:lang w:eastAsia="zh-CN"/>
        </w:rPr>
        <w:t xml:space="preserve">Republike </w:t>
      </w:r>
      <w:r>
        <w:rPr>
          <w:rFonts w:eastAsia="SimSun"/>
          <w:kern w:val="2"/>
          <w:szCs w:val="20"/>
          <w:lang w:val="sr-Cyrl-RS" w:eastAsia="zh-CN"/>
        </w:rPr>
        <w:t xml:space="preserve">Srbije, </w:t>
      </w:r>
      <w:r>
        <w:rPr>
          <w:rFonts w:eastAsia="SimSun"/>
          <w:kern w:val="2"/>
          <w:szCs w:val="20"/>
          <w:lang w:eastAsia="zh-CN"/>
        </w:rPr>
        <w:t xml:space="preserve">Republike </w:t>
      </w:r>
      <w:r>
        <w:rPr>
          <w:rFonts w:eastAsia="SimSun"/>
          <w:kern w:val="2"/>
          <w:szCs w:val="20"/>
          <w:lang w:val="sr-Cyrl-RS" w:eastAsia="zh-CN"/>
        </w:rPr>
        <w:t xml:space="preserve">Turske, </w:t>
      </w:r>
      <w:r>
        <w:rPr>
          <w:rFonts w:eastAsia="SimSun"/>
          <w:kern w:val="2"/>
          <w:szCs w:val="20"/>
          <w:lang w:eastAsia="zh-CN"/>
        </w:rPr>
        <w:t xml:space="preserve">Republike </w:t>
      </w:r>
      <w:r>
        <w:rPr>
          <w:rFonts w:eastAsia="SimSun"/>
          <w:kern w:val="2"/>
          <w:szCs w:val="20"/>
          <w:lang w:val="sr-Cyrl-RS" w:eastAsia="zh-CN"/>
        </w:rPr>
        <w:t xml:space="preserve">Hrvatske, </w:t>
      </w:r>
      <w:r>
        <w:rPr>
          <w:rFonts w:eastAsia="SimSun"/>
          <w:kern w:val="2"/>
          <w:szCs w:val="20"/>
          <w:lang w:eastAsia="zh-CN"/>
        </w:rPr>
        <w:t xml:space="preserve">Narodne Republike </w:t>
      </w:r>
      <w:r>
        <w:rPr>
          <w:rFonts w:eastAsia="SimSun"/>
          <w:kern w:val="2"/>
          <w:szCs w:val="20"/>
          <w:lang w:val="sr-Cyrl-RS" w:eastAsia="zh-CN"/>
        </w:rPr>
        <w:t xml:space="preserve">Kine </w:t>
      </w:r>
      <w:r>
        <w:t xml:space="preserve">i </w:t>
      </w:r>
      <w:r>
        <w:rPr>
          <w:rFonts w:eastAsia="SimSun"/>
          <w:kern w:val="2"/>
          <w:szCs w:val="20"/>
          <w:lang w:eastAsia="zh-CN"/>
        </w:rPr>
        <w:t xml:space="preserve">Arapske Republike </w:t>
      </w:r>
      <w:r>
        <w:rPr>
          <w:rFonts w:eastAsia="SimSun"/>
          <w:kern w:val="2"/>
          <w:szCs w:val="20"/>
          <w:lang w:val="sr-Cyrl-RS" w:eastAsia="zh-CN"/>
        </w:rPr>
        <w:t>Egipa</w:t>
      </w:r>
      <w:r>
        <w:rPr>
          <w:rFonts w:eastAsia="SimSun"/>
          <w:kern w:val="2"/>
          <w:szCs w:val="20"/>
          <w:lang w:eastAsia="zh-CN"/>
        </w:rPr>
        <w:t>t</w:t>
      </w:r>
      <w:r>
        <w:t xml:space="preserve">. Prateći promjene u odnosu na prethodnu godinu primjetno je smanjenje broja izdatih radnih dozvola državljanima </w:t>
      </w:r>
      <w:r>
        <w:rPr>
          <w:rFonts w:eastAsia="SimSun"/>
          <w:kern w:val="2"/>
          <w:szCs w:val="20"/>
          <w:lang w:eastAsia="zh-CN"/>
        </w:rPr>
        <w:t xml:space="preserve">Republike </w:t>
      </w:r>
      <w:r>
        <w:rPr>
          <w:rFonts w:eastAsia="SimSun"/>
          <w:kern w:val="2"/>
          <w:szCs w:val="20"/>
          <w:lang w:val="sr-Cyrl-RS" w:eastAsia="zh-CN"/>
        </w:rPr>
        <w:t>Turske</w:t>
      </w:r>
      <w:r>
        <w:t xml:space="preserve">, Ujedinjenih Arapskih Emirata i </w:t>
      </w:r>
      <w:r>
        <w:rPr>
          <w:rFonts w:eastAsia="SimSun"/>
          <w:kern w:val="2"/>
          <w:szCs w:val="20"/>
          <w:lang w:val="sr-Cyrl-RS" w:eastAsia="zh-CN"/>
        </w:rPr>
        <w:t>Sirijske Arapske Republike</w:t>
      </w:r>
      <w:r>
        <w:t>,</w:t>
      </w:r>
      <w:r>
        <w:rPr>
          <w:color w:val="FF0000"/>
        </w:rPr>
        <w:t xml:space="preserve"> </w:t>
      </w:r>
      <w:r>
        <w:t xml:space="preserve">te povećanje broja izdatih radnih dozvola državljanima Republike Slovenije, Saudijske Arabije i </w:t>
      </w:r>
      <w:r>
        <w:rPr>
          <w:rFonts w:eastAsia="SimSun"/>
          <w:kern w:val="2"/>
          <w:szCs w:val="20"/>
          <w:lang w:eastAsia="zh-CN"/>
        </w:rPr>
        <w:t xml:space="preserve">Arapske Republike </w:t>
      </w:r>
      <w:r>
        <w:rPr>
          <w:rFonts w:eastAsia="SimSun"/>
          <w:kern w:val="2"/>
          <w:szCs w:val="20"/>
          <w:lang w:val="sr-Cyrl-RS" w:eastAsia="zh-CN"/>
        </w:rPr>
        <w:t>Egipa</w:t>
      </w:r>
      <w:r>
        <w:rPr>
          <w:rFonts w:eastAsia="SimSun"/>
          <w:kern w:val="2"/>
          <w:szCs w:val="20"/>
          <w:lang w:eastAsia="zh-CN"/>
        </w:rPr>
        <w:t>t</w:t>
      </w:r>
      <w:r>
        <w:t>.</w:t>
      </w:r>
    </w:p>
    <w:p w14:paraId="20DA047F" w14:textId="77777777" w:rsidR="00C93391" w:rsidRDefault="00C93391" w:rsidP="00C93391">
      <w:pPr>
        <w:numPr>
          <w:ilvl w:val="0"/>
          <w:numId w:val="7"/>
        </w:numPr>
        <w:spacing w:after="0" w:line="256" w:lineRule="auto"/>
        <w:ind w:right="0"/>
      </w:pPr>
      <w:r>
        <w:t>Prema kvalifikacionoj strukturi, u 2018. godini se pokazuje da najveći broj zaposlenih stranaca ima visoku stručnu spremu</w:t>
      </w:r>
      <w:r>
        <w:rPr>
          <w:color w:val="FF0000"/>
        </w:rPr>
        <w:t xml:space="preserve"> </w:t>
      </w:r>
      <w:r>
        <w:t xml:space="preserve">1.393 (49,36%), nakon čega slijede oni sa srednjom stručnom spremom 819 (29,02%), te nekvalifikovani radnici 228 (8,08%), što je skoro isti slučaj i u prethodnim godinama. </w:t>
      </w:r>
    </w:p>
    <w:p w14:paraId="66EB45DD" w14:textId="77777777" w:rsidR="00C93391" w:rsidRDefault="00C93391" w:rsidP="00C93391">
      <w:pPr>
        <w:numPr>
          <w:ilvl w:val="0"/>
          <w:numId w:val="7"/>
        </w:numPr>
        <w:spacing w:after="48" w:line="256" w:lineRule="auto"/>
        <w:ind w:right="0"/>
      </w:pPr>
      <w:r>
        <w:t xml:space="preserve">Prema standardnoj klasifikaciji djelatnosti, najveći broj radnih dozvola u 2018. godini izdat je u sljedećim djelatnostima: trgovini 667 (23,6%), poslovanju nekretninama 356 (12,6%), prerađivačkoj industriji 268 (9,5%), ostalim uslužnim djelatnostima 237 </w:t>
      </w:r>
      <w:r>
        <w:lastRenderedPageBreak/>
        <w:t xml:space="preserve">(8,4%) i umjetnosti, zabave i rekreacije 224 (7,9%), što predstavlja 62,0% od ukupnog broja izdatih radnih dozvola. </w:t>
      </w:r>
    </w:p>
    <w:p w14:paraId="6AE4254B" w14:textId="0C5FDC05" w:rsidR="00C93391" w:rsidRDefault="00C93391" w:rsidP="00C93391">
      <w:pPr>
        <w:numPr>
          <w:ilvl w:val="0"/>
          <w:numId w:val="7"/>
        </w:numPr>
        <w:spacing w:after="48" w:line="256" w:lineRule="auto"/>
        <w:ind w:right="0"/>
      </w:pPr>
      <w:r>
        <w:t xml:space="preserve">Ako poredimo izdate radne dozvole sa predloženom kvotom u 2018. godini, evidentno je da je popunjenost kvote za ukupno izdate radne dozvole </w:t>
      </w:r>
      <w:r w:rsidR="00637C8C">
        <w:t xml:space="preserve">strancima </w:t>
      </w:r>
      <w:r>
        <w:t>u BiH 66%,  i nešto je veća nego u prethodnoj godini. U 2017. godini popunjenost kvote je bila 55%.</w:t>
      </w:r>
    </w:p>
    <w:p w14:paraId="4D77B1AB" w14:textId="4D8FAE27" w:rsidR="00C93391" w:rsidRDefault="00C93391" w:rsidP="00C93391">
      <w:pPr>
        <w:numPr>
          <w:ilvl w:val="0"/>
          <w:numId w:val="7"/>
        </w:numPr>
        <w:spacing w:after="0" w:line="240" w:lineRule="auto"/>
        <w:ind w:right="0"/>
      </w:pPr>
      <w:r>
        <w:t xml:space="preserve">Udio godišnjeg broja zaposlenih stranaca u BiH u odnosu na prosječan broj zaposlenih lica u BiH u 2018. godini bio je 0,4% i kretao se kao i predhodnih godina, što je veoma mali udio, tako da možemo zaključiti da zapošljavanje strane radne snage nema kvantitativni uticaj na tržište rada u Bosni i Hercegovini. </w:t>
      </w:r>
    </w:p>
    <w:p w14:paraId="1C18E1CA" w14:textId="77777777" w:rsidR="0055650F" w:rsidRDefault="0055650F" w:rsidP="0055650F">
      <w:pPr>
        <w:spacing w:after="0" w:line="240" w:lineRule="auto"/>
        <w:ind w:left="720" w:right="0" w:firstLine="0"/>
      </w:pPr>
    </w:p>
    <w:p w14:paraId="11A789A6" w14:textId="77777777" w:rsidR="00765CE7" w:rsidRDefault="00B80ACE">
      <w:pPr>
        <w:numPr>
          <w:ilvl w:val="0"/>
          <w:numId w:val="7"/>
        </w:numPr>
        <w:spacing w:after="120" w:line="240" w:lineRule="auto"/>
        <w:ind w:left="714" w:right="0" w:hanging="357"/>
        <w:rPr>
          <w:rFonts w:eastAsia="SimSun"/>
          <w:kern w:val="2"/>
          <w:szCs w:val="20"/>
          <w:lang w:val="sr-Cyrl-RS" w:eastAsia="zh-CN"/>
        </w:rPr>
      </w:pPr>
      <w:r>
        <w:rPr>
          <w:rFonts w:eastAsia="SimSun"/>
          <w:kern w:val="2"/>
          <w:szCs w:val="20"/>
          <w:lang w:eastAsia="zh-CN"/>
        </w:rPr>
        <w:t>Ako se analiziraju izdate radne dozvole prema zanimanjima, najveći broj radnih dozvola izdat je za sljedeća zanimanja:</w:t>
      </w:r>
    </w:p>
    <w:p w14:paraId="63586F8F" w14:textId="77777777" w:rsidR="00765CE7" w:rsidRDefault="00B80ACE">
      <w:pPr>
        <w:pStyle w:val="ListParagraph"/>
        <w:numPr>
          <w:ilvl w:val="0"/>
          <w:numId w:val="8"/>
        </w:numPr>
        <w:spacing w:after="0" w:line="276" w:lineRule="auto"/>
        <w:ind w:right="0"/>
        <w:rPr>
          <w:rFonts w:eastAsia="SimSun"/>
          <w:kern w:val="2"/>
          <w:szCs w:val="20"/>
          <w:lang w:eastAsia="zh-CN"/>
        </w:rPr>
      </w:pPr>
      <w:r>
        <w:rPr>
          <w:rFonts w:eastAsia="SimSun"/>
          <w:kern w:val="2"/>
          <w:szCs w:val="20"/>
          <w:lang w:eastAsia="zh-CN"/>
        </w:rPr>
        <w:t>Iz kategorije visoke stručne spreme: ekonomisti, univerzitetski i visokoškolski nastavnici, doktori medicine, građevinski inžinjeri, pravni zastupnici, inžinjeri elektrotehnike, inžinjeri mašinstva, univerzitetski profesori ekonomije, inžinjeri geologije, inžinjeri građevine.</w:t>
      </w:r>
    </w:p>
    <w:p w14:paraId="52BC9B03" w14:textId="77777777" w:rsidR="00765CE7" w:rsidRDefault="00B80ACE">
      <w:pPr>
        <w:pStyle w:val="ListParagraph"/>
        <w:numPr>
          <w:ilvl w:val="0"/>
          <w:numId w:val="9"/>
        </w:numPr>
        <w:spacing w:after="200" w:line="276" w:lineRule="auto"/>
        <w:ind w:right="0"/>
        <w:rPr>
          <w:rFonts w:eastAsia="SimSun"/>
          <w:kern w:val="2"/>
          <w:szCs w:val="20"/>
          <w:lang w:eastAsia="zh-CN"/>
        </w:rPr>
      </w:pPr>
      <w:r>
        <w:rPr>
          <w:rFonts w:eastAsia="SimSun"/>
          <w:kern w:val="2"/>
          <w:szCs w:val="20"/>
          <w:lang w:eastAsia="zh-CN"/>
        </w:rPr>
        <w:t>Iz kategorije srednje stručne spreme i niže: sportisti, pekari, mašinski tehničari, obrtnici-zanatlije, radnici za jednostavne poslove, trgovci, elektrotehničari, komercijalisti, kuhari, sportski treneri.</w:t>
      </w:r>
    </w:p>
    <w:p w14:paraId="2893A8AB" w14:textId="77777777" w:rsidR="00765CE7" w:rsidRDefault="00B80ACE" w:rsidP="00A366CB">
      <w:pPr>
        <w:spacing w:after="120" w:line="240" w:lineRule="auto"/>
        <w:ind w:firstLine="0"/>
        <w:rPr>
          <w:rFonts w:eastAsia="SimSun"/>
          <w:kern w:val="2"/>
          <w:szCs w:val="20"/>
          <w:lang w:eastAsia="zh-CN"/>
        </w:rPr>
      </w:pPr>
      <w:r>
        <w:rPr>
          <w:rFonts w:eastAsia="SimSun"/>
          <w:kern w:val="2"/>
          <w:szCs w:val="20"/>
          <w:lang w:eastAsia="zh-CN"/>
        </w:rPr>
        <w:t xml:space="preserve">Potrebno je napomenuti da u ovom slučaju nisu uzeta u obzir zanimanja stranaca koji su pokrenuli obrte ili su osnivači i odgovorne osobe u firmi (direktori, izvršni direktori i sl.), jer oni nisu pokazatelj stvarnih potreba poslodavaca u Bosni i Hercegovini za radnom snagom. </w:t>
      </w:r>
    </w:p>
    <w:p w14:paraId="632D0227" w14:textId="2F9A1838" w:rsidR="00765CE7" w:rsidRPr="009D727D" w:rsidRDefault="00B80ACE" w:rsidP="00A366CB">
      <w:pPr>
        <w:spacing w:after="120" w:line="240" w:lineRule="auto"/>
        <w:rPr>
          <w:rFonts w:eastAsia="SimSun"/>
          <w:color w:val="auto"/>
          <w:kern w:val="2"/>
          <w:szCs w:val="20"/>
          <w:lang w:eastAsia="zh-CN"/>
        </w:rPr>
      </w:pPr>
      <w:r w:rsidRPr="009D727D">
        <w:rPr>
          <w:rFonts w:eastAsia="SimSun"/>
          <w:color w:val="auto"/>
          <w:kern w:val="2"/>
          <w:szCs w:val="20"/>
          <w:lang w:eastAsia="zh-CN"/>
        </w:rPr>
        <w:t>Analizom</w:t>
      </w:r>
      <w:r w:rsidRPr="009D727D">
        <w:rPr>
          <w:rFonts w:eastAsia="SimSun"/>
          <w:color w:val="auto"/>
          <w:kern w:val="2"/>
          <w:szCs w:val="20"/>
          <w:lang w:val="sr-Cyrl-RS" w:eastAsia="zh-CN"/>
        </w:rPr>
        <w:t xml:space="preserve"> </w:t>
      </w:r>
      <w:r w:rsidRPr="009D727D">
        <w:rPr>
          <w:rFonts w:eastAsia="SimSun"/>
          <w:color w:val="auto"/>
          <w:kern w:val="2"/>
          <w:szCs w:val="20"/>
          <w:lang w:eastAsia="zh-CN"/>
        </w:rPr>
        <w:t xml:space="preserve">podataka </w:t>
      </w:r>
      <w:r w:rsidRPr="009D727D">
        <w:rPr>
          <w:color w:val="auto"/>
        </w:rPr>
        <w:t xml:space="preserve">Službe za poslove sa strancima, koji se odnose na </w:t>
      </w:r>
      <w:r w:rsidR="006A3396" w:rsidRPr="009D727D">
        <w:rPr>
          <w:color w:val="auto"/>
        </w:rPr>
        <w:t xml:space="preserve">davanje saglasnosti za izdavanje vize tipa D i na </w:t>
      </w:r>
      <w:r w:rsidR="00BA0B0D" w:rsidRPr="009D727D">
        <w:rPr>
          <w:color w:val="auto"/>
        </w:rPr>
        <w:t xml:space="preserve">broj </w:t>
      </w:r>
      <w:r w:rsidR="006A3396" w:rsidRPr="009D727D">
        <w:rPr>
          <w:color w:val="auto"/>
        </w:rPr>
        <w:t>odobrenj</w:t>
      </w:r>
      <w:r w:rsidR="00BA0B0D" w:rsidRPr="009D727D">
        <w:rPr>
          <w:color w:val="auto"/>
        </w:rPr>
        <w:t>a</w:t>
      </w:r>
      <w:r w:rsidR="006A3396" w:rsidRPr="009D727D">
        <w:rPr>
          <w:color w:val="auto"/>
        </w:rPr>
        <w:t>/produženj</w:t>
      </w:r>
      <w:r w:rsidR="00BA0B0D" w:rsidRPr="009D727D">
        <w:rPr>
          <w:color w:val="auto"/>
        </w:rPr>
        <w:t>a</w:t>
      </w:r>
      <w:r w:rsidR="006A3396" w:rsidRPr="009D727D">
        <w:rPr>
          <w:color w:val="auto"/>
        </w:rPr>
        <w:t xml:space="preserve"> privremenog boravka po osnovu rada sa radnom dozvolom i rada bez radne dozvole,</w:t>
      </w:r>
      <w:r w:rsidR="00BF382A" w:rsidRPr="009D727D">
        <w:rPr>
          <w:color w:val="auto"/>
        </w:rPr>
        <w:t xml:space="preserve"> kao i na izdate potvrde o prijavi rada</w:t>
      </w:r>
      <w:r w:rsidR="006A3396" w:rsidRPr="009D727D">
        <w:rPr>
          <w:color w:val="auto"/>
        </w:rPr>
        <w:t xml:space="preserve"> </w:t>
      </w:r>
      <w:r w:rsidRPr="009D727D">
        <w:rPr>
          <w:color w:val="auto"/>
        </w:rPr>
        <w:t>može se izdvojiti sljedeće:</w:t>
      </w:r>
    </w:p>
    <w:p w14:paraId="50B879B8" w14:textId="77777777" w:rsidR="00765CE7" w:rsidRPr="009D727D" w:rsidRDefault="00765CE7">
      <w:pPr>
        <w:tabs>
          <w:tab w:val="left" w:pos="1380"/>
        </w:tabs>
        <w:spacing w:line="276" w:lineRule="auto"/>
        <w:rPr>
          <w:b/>
          <w:color w:val="auto"/>
        </w:rPr>
      </w:pPr>
    </w:p>
    <w:p w14:paraId="502262BB" w14:textId="231647E0" w:rsidR="00765CE7" w:rsidRDefault="00B80ACE">
      <w:pPr>
        <w:pStyle w:val="ListParagraph"/>
        <w:numPr>
          <w:ilvl w:val="0"/>
          <w:numId w:val="10"/>
        </w:numPr>
        <w:rPr>
          <w:color w:val="auto"/>
        </w:rPr>
      </w:pPr>
      <w:r w:rsidRPr="009D727D">
        <w:rPr>
          <w:color w:val="auto"/>
        </w:rPr>
        <w:t>Broj zahtjeva za davanje saglasnosti u postupku izdavanja viza tipa „D“ pojedinačno,  prema podacima Službe</w:t>
      </w:r>
      <w:r w:rsidR="00A06DE8" w:rsidRPr="009D727D">
        <w:rPr>
          <w:color w:val="auto"/>
        </w:rPr>
        <w:t xml:space="preserve"> za poslove sa strancima, u 2018</w:t>
      </w:r>
      <w:r w:rsidRPr="009D727D">
        <w:rPr>
          <w:color w:val="auto"/>
        </w:rPr>
        <w:t xml:space="preserve">. godini </w:t>
      </w:r>
      <w:r w:rsidR="00A06DE8" w:rsidRPr="009D727D">
        <w:rPr>
          <w:color w:val="auto"/>
        </w:rPr>
        <w:t>veći</w:t>
      </w:r>
      <w:r w:rsidRPr="009D727D">
        <w:rPr>
          <w:color w:val="auto"/>
        </w:rPr>
        <w:t xml:space="preserve"> je kod r</w:t>
      </w:r>
      <w:r w:rsidR="00A06DE8" w:rsidRPr="009D727D">
        <w:rPr>
          <w:color w:val="auto"/>
        </w:rPr>
        <w:t>ada bez radne dozvole u odnosu na 2017. godinu,</w:t>
      </w:r>
      <w:r w:rsidRPr="009D727D">
        <w:rPr>
          <w:color w:val="auto"/>
        </w:rPr>
        <w:t xml:space="preserve"> a porast je evidentiran</w:t>
      </w:r>
      <w:r w:rsidR="00A06DE8" w:rsidRPr="009D727D">
        <w:rPr>
          <w:color w:val="auto"/>
        </w:rPr>
        <w:t xml:space="preserve"> i</w:t>
      </w:r>
      <w:r w:rsidRPr="009D727D">
        <w:rPr>
          <w:color w:val="auto"/>
        </w:rPr>
        <w:t xml:space="preserve"> kada  je riječ o radu </w:t>
      </w:r>
      <w:r w:rsidR="00A06DE8" w:rsidRPr="009D727D">
        <w:rPr>
          <w:color w:val="auto"/>
        </w:rPr>
        <w:t>sa radnom dozvolom u visini od 7</w:t>
      </w:r>
      <w:r w:rsidRPr="009D727D">
        <w:rPr>
          <w:color w:val="auto"/>
        </w:rPr>
        <w:t>,</w:t>
      </w:r>
      <w:r w:rsidR="00A06DE8" w:rsidRPr="009D727D">
        <w:rPr>
          <w:color w:val="auto"/>
        </w:rPr>
        <w:t>0</w:t>
      </w:r>
      <w:r w:rsidRPr="009D727D">
        <w:rPr>
          <w:color w:val="auto"/>
        </w:rPr>
        <w:t xml:space="preserve">%, dok je po osnovu odobrenih/produženih privremenih boravaka pojedinačno, pad prisutan po osnovu rada bez radne dozvole u visini od </w:t>
      </w:r>
      <w:r w:rsidR="00A06DE8" w:rsidRPr="009D727D">
        <w:rPr>
          <w:color w:val="auto"/>
        </w:rPr>
        <w:t>10</w:t>
      </w:r>
      <w:r w:rsidRPr="009D727D">
        <w:rPr>
          <w:color w:val="auto"/>
        </w:rPr>
        <w:t>,</w:t>
      </w:r>
      <w:r w:rsidR="00A06DE8" w:rsidRPr="009D727D">
        <w:rPr>
          <w:color w:val="auto"/>
        </w:rPr>
        <w:t>5</w:t>
      </w:r>
      <w:r w:rsidR="009D727D" w:rsidRPr="009D727D">
        <w:rPr>
          <w:color w:val="auto"/>
        </w:rPr>
        <w:t>%, te</w:t>
      </w:r>
      <w:r w:rsidRPr="009D727D">
        <w:rPr>
          <w:color w:val="auto"/>
        </w:rPr>
        <w:t xml:space="preserve"> </w:t>
      </w:r>
      <w:r w:rsidR="00A06DE8" w:rsidRPr="009D727D">
        <w:rPr>
          <w:color w:val="auto"/>
        </w:rPr>
        <w:t>1,6%</w:t>
      </w:r>
      <w:r w:rsidRPr="009D727D">
        <w:rPr>
          <w:color w:val="auto"/>
        </w:rPr>
        <w:t xml:space="preserve"> kada je rije</w:t>
      </w:r>
      <w:r w:rsidR="00A06DE8" w:rsidRPr="009D727D">
        <w:rPr>
          <w:color w:val="auto"/>
        </w:rPr>
        <w:t>č o radu sa radnom dozvolom</w:t>
      </w:r>
      <w:r w:rsidRPr="009D727D">
        <w:rPr>
          <w:color w:val="auto"/>
        </w:rPr>
        <w:t>.</w:t>
      </w:r>
    </w:p>
    <w:p w14:paraId="28D01326" w14:textId="77777777" w:rsidR="00BC261B" w:rsidRDefault="00BC261B" w:rsidP="00BC261B">
      <w:pPr>
        <w:pStyle w:val="ListParagraph"/>
        <w:ind w:firstLine="0"/>
        <w:rPr>
          <w:color w:val="auto"/>
        </w:rPr>
      </w:pPr>
    </w:p>
    <w:p w14:paraId="5232866F" w14:textId="755A3234" w:rsidR="00765CE7" w:rsidRPr="005E2696" w:rsidRDefault="00A73D19" w:rsidP="005E2696">
      <w:pPr>
        <w:pStyle w:val="ListParagraph"/>
        <w:numPr>
          <w:ilvl w:val="0"/>
          <w:numId w:val="10"/>
        </w:numPr>
        <w:rPr>
          <w:color w:val="auto"/>
        </w:rPr>
      </w:pPr>
      <w:r>
        <w:rPr>
          <w:color w:val="auto"/>
        </w:rPr>
        <w:t>Broj izdatih potvrda o prijavi rada, koje izdaje Služba za poslove sa strancim</w:t>
      </w:r>
      <w:r w:rsidR="004711FD">
        <w:rPr>
          <w:color w:val="auto"/>
        </w:rPr>
        <w:t>a</w:t>
      </w:r>
      <w:r>
        <w:rPr>
          <w:color w:val="auto"/>
        </w:rPr>
        <w:t xml:space="preserve">, za strance </w:t>
      </w:r>
      <w:r w:rsidR="004711FD">
        <w:rPr>
          <w:color w:val="auto"/>
        </w:rPr>
        <w:t xml:space="preserve">kojima nije potrebna </w:t>
      </w:r>
      <w:r>
        <w:rPr>
          <w:color w:val="auto"/>
        </w:rPr>
        <w:t>radna dozvola, u 2018. godini je povećan za 7,03% u odnosu na 2017. godinu.</w:t>
      </w:r>
    </w:p>
    <w:p w14:paraId="28933EDC" w14:textId="77777777" w:rsidR="00765CE7" w:rsidRPr="004558C4" w:rsidRDefault="00765CE7">
      <w:pPr>
        <w:rPr>
          <w:rFonts w:eastAsia="SimSun"/>
          <w:b/>
          <w:color w:val="auto"/>
          <w:kern w:val="2"/>
          <w:szCs w:val="20"/>
          <w:lang w:val="sr-Cyrl-RS" w:eastAsia="zh-CN"/>
        </w:rPr>
      </w:pPr>
    </w:p>
    <w:p w14:paraId="5F431B64" w14:textId="77777777" w:rsidR="00765CE7" w:rsidRDefault="00B80ACE">
      <w:pPr>
        <w:pStyle w:val="Heading1"/>
        <w:numPr>
          <w:ilvl w:val="0"/>
          <w:numId w:val="6"/>
        </w:numPr>
      </w:pPr>
      <w:bookmarkStart w:id="19" w:name="_Toc28010140"/>
      <w:r>
        <w:t>PREGLED ZAPAŽANJA</w:t>
      </w:r>
      <w:bookmarkEnd w:id="19"/>
    </w:p>
    <w:p w14:paraId="2C7EA398" w14:textId="3FE2E63E" w:rsidR="00765CE7" w:rsidRDefault="00B80ACE">
      <w:pPr>
        <w:ind w:firstLine="0"/>
        <w:rPr>
          <w:bCs/>
          <w:lang w:val="sr-Latn-BA"/>
        </w:rPr>
      </w:pPr>
      <w:r>
        <w:t>U dokumentu</w:t>
      </w:r>
      <w:r w:rsidR="00567038">
        <w:t xml:space="preserve"> Platforma zapošljavanja stranaca u BiH,</w:t>
      </w:r>
      <w:r>
        <w:rPr>
          <w:color w:val="auto"/>
        </w:rPr>
        <w:t xml:space="preserve"> u cilju </w:t>
      </w:r>
      <w:r>
        <w:t>stvaranja preduslova prilikom preduzimanja aktivnosti vezanih za</w:t>
      </w:r>
      <w:r>
        <w:rPr>
          <w:bCs/>
          <w:lang w:val="sr-Latn-BA"/>
        </w:rPr>
        <w:t xml:space="preserve"> potrebe za zapošljavanjem stranaca u BiH, kojima će se rukovoditi nadležne institucije u BiH, mora se poći od sljedećih činjenica: </w:t>
      </w:r>
    </w:p>
    <w:p w14:paraId="1156D703" w14:textId="77777777" w:rsidR="00765CE7" w:rsidRDefault="00765CE7">
      <w:pPr>
        <w:ind w:left="7"/>
        <w:rPr>
          <w:color w:val="181717"/>
        </w:rPr>
      </w:pPr>
    </w:p>
    <w:p w14:paraId="4B834AEE" w14:textId="760070BA" w:rsidR="00765CE7" w:rsidRDefault="00B80ACE">
      <w:pPr>
        <w:numPr>
          <w:ilvl w:val="0"/>
          <w:numId w:val="12"/>
        </w:numPr>
        <w:spacing w:after="0" w:line="240" w:lineRule="auto"/>
        <w:ind w:right="0"/>
        <w:rPr>
          <w:bCs/>
          <w:lang w:val="sr-Latn-BA"/>
        </w:rPr>
      </w:pPr>
      <w:r>
        <w:rPr>
          <w:bCs/>
          <w:lang w:val="sr-Latn-BA"/>
        </w:rPr>
        <w:lastRenderedPageBreak/>
        <w:t>Zapošljavanje stranaca u BiH je zakonski uređeno, sa razrađenim aktivnostima u domenu zakonodavstva, povezanosti inst</w:t>
      </w:r>
      <w:r w:rsidR="001B49C2">
        <w:rPr>
          <w:bCs/>
          <w:lang w:val="sr-Latn-BA"/>
        </w:rPr>
        <w:t>i</w:t>
      </w:r>
      <w:r>
        <w:rPr>
          <w:bCs/>
          <w:lang w:val="sr-Latn-BA"/>
        </w:rPr>
        <w:t>tucija i kontrolnim mehanizmima.</w:t>
      </w:r>
    </w:p>
    <w:p w14:paraId="06DE7930" w14:textId="77777777" w:rsidR="00765CE7" w:rsidRDefault="00765CE7">
      <w:pPr>
        <w:spacing w:line="240" w:lineRule="auto"/>
        <w:rPr>
          <w:bCs/>
          <w:lang w:val="sr-Latn-BA"/>
        </w:rPr>
      </w:pPr>
    </w:p>
    <w:p w14:paraId="1FDBC90F" w14:textId="77777777" w:rsidR="00765CE7" w:rsidRDefault="00B80ACE">
      <w:pPr>
        <w:numPr>
          <w:ilvl w:val="0"/>
          <w:numId w:val="12"/>
        </w:numPr>
        <w:spacing w:after="0" w:line="240" w:lineRule="auto"/>
        <w:ind w:right="0"/>
        <w:rPr>
          <w:bCs/>
          <w:lang w:val="sr-Latn-BA"/>
        </w:rPr>
      </w:pPr>
      <w:r>
        <w:rPr>
          <w:bCs/>
          <w:lang w:val="sr-Latn-BA"/>
        </w:rPr>
        <w:t>Zakonski okvir za zapošljavanje stranaca je liberalan, neprestano se inovira, usklađen je sa zakonodavstvom zemalja EU i razvijenim zemljama i nudi brojne olakšice u svrhu privlačenja direktnih stranih investicija, mogućnosti sezonskog zapošljavanja, visokokvalifikovanog zapošljavanja, izdavanje radnih dozvola osnivačima i ključnim licima u preduzećima bez ikakvih ograničenja, izuzeća izdavanja radnih dozvola izvan kvote i izuzeća od posjedovanja radnih dozvola.</w:t>
      </w:r>
    </w:p>
    <w:p w14:paraId="4DBCF4C7" w14:textId="77777777" w:rsidR="00765CE7" w:rsidRDefault="00765CE7">
      <w:pPr>
        <w:pStyle w:val="ListParagraph"/>
        <w:spacing w:line="240" w:lineRule="auto"/>
        <w:ind w:left="0"/>
        <w:rPr>
          <w:bCs/>
          <w:lang w:val="sr-Latn-BA"/>
        </w:rPr>
      </w:pPr>
    </w:p>
    <w:p w14:paraId="65075633" w14:textId="09502523" w:rsidR="00765CE7" w:rsidRDefault="00B80ACE">
      <w:pPr>
        <w:numPr>
          <w:ilvl w:val="0"/>
          <w:numId w:val="12"/>
        </w:numPr>
        <w:spacing w:after="0" w:line="240" w:lineRule="auto"/>
        <w:ind w:right="0"/>
        <w:rPr>
          <w:bCs/>
          <w:lang w:val="sr-Latn-BA"/>
        </w:rPr>
      </w:pPr>
      <w:r>
        <w:rPr>
          <w:bCs/>
          <w:lang w:val="sr-Latn-BA"/>
        </w:rPr>
        <w:t xml:space="preserve">Postoji dugogodišnji trend laganog rasta izdatih radnih dozvola </w:t>
      </w:r>
      <w:r w:rsidR="00637C8C">
        <w:rPr>
          <w:bCs/>
          <w:lang w:val="sr-Latn-BA"/>
        </w:rPr>
        <w:t xml:space="preserve">strancima </w:t>
      </w:r>
      <w:r>
        <w:rPr>
          <w:bCs/>
          <w:lang w:val="sr-Latn-BA"/>
        </w:rPr>
        <w:t>u BiH.</w:t>
      </w:r>
    </w:p>
    <w:p w14:paraId="6582CF8C" w14:textId="77777777" w:rsidR="00765CE7" w:rsidRDefault="00765CE7">
      <w:pPr>
        <w:spacing w:line="240" w:lineRule="auto"/>
        <w:rPr>
          <w:bCs/>
          <w:lang w:val="sr-Latn-BA"/>
        </w:rPr>
      </w:pPr>
    </w:p>
    <w:p w14:paraId="666112B6" w14:textId="77777777" w:rsidR="00765CE7" w:rsidRDefault="00B80ACE">
      <w:pPr>
        <w:numPr>
          <w:ilvl w:val="0"/>
          <w:numId w:val="12"/>
        </w:numPr>
        <w:spacing w:after="0" w:line="240" w:lineRule="auto"/>
        <w:ind w:right="0"/>
        <w:rPr>
          <w:bCs/>
          <w:lang w:val="sr-Latn-BA"/>
        </w:rPr>
      </w:pPr>
      <w:r>
        <w:rPr>
          <w:bCs/>
          <w:lang w:val="sr-Latn-BA"/>
        </w:rPr>
        <w:t xml:space="preserve">Sadašnji broj zaposlenih stranaca u BiH nema značajniji uticaj na tržište rada u BiH u kvantitativnom smislu. </w:t>
      </w:r>
    </w:p>
    <w:p w14:paraId="3517BCB0" w14:textId="77777777" w:rsidR="00765CE7" w:rsidRDefault="00765CE7">
      <w:pPr>
        <w:spacing w:line="240" w:lineRule="auto"/>
        <w:rPr>
          <w:bCs/>
          <w:lang w:val="sr-Latn-BA"/>
        </w:rPr>
      </w:pPr>
    </w:p>
    <w:p w14:paraId="6AAE8D58" w14:textId="77777777" w:rsidR="00765CE7" w:rsidRDefault="00B80ACE">
      <w:pPr>
        <w:numPr>
          <w:ilvl w:val="0"/>
          <w:numId w:val="12"/>
        </w:numPr>
        <w:spacing w:after="0" w:line="240" w:lineRule="auto"/>
        <w:ind w:right="0"/>
        <w:rPr>
          <w:bCs/>
          <w:lang w:val="sr-Latn-BA"/>
        </w:rPr>
      </w:pPr>
      <w:r>
        <w:rPr>
          <w:bCs/>
          <w:lang w:val="sr-Latn-BA"/>
        </w:rPr>
        <w:t>Prema mogućnostima, potrebno je regulisati zapošljavanje stranaca iz drugih država u BiH i bilateralnim ugovorima između BiH i drugih zemalja (za sada postoji samo sa Republikom Srbijom).</w:t>
      </w:r>
    </w:p>
    <w:p w14:paraId="457147E7" w14:textId="77777777" w:rsidR="00765CE7" w:rsidRDefault="00765CE7">
      <w:pPr>
        <w:spacing w:line="240" w:lineRule="auto"/>
        <w:rPr>
          <w:bCs/>
          <w:lang w:val="sr-Latn-BA"/>
        </w:rPr>
      </w:pPr>
    </w:p>
    <w:p w14:paraId="25E04814" w14:textId="77777777" w:rsidR="00765CE7" w:rsidRDefault="00B80ACE">
      <w:pPr>
        <w:numPr>
          <w:ilvl w:val="0"/>
          <w:numId w:val="12"/>
        </w:numPr>
        <w:spacing w:after="0" w:line="240" w:lineRule="auto"/>
        <w:ind w:right="0"/>
        <w:rPr>
          <w:bCs/>
          <w:lang w:val="sr-Latn-BA"/>
        </w:rPr>
      </w:pPr>
      <w:r>
        <w:rPr>
          <w:bCs/>
        </w:rPr>
        <w:t xml:space="preserve">S obzirom na to da je starenje stanovništva generalni problem u BiH, mogu se očekivati problemi na tržištu rada i upravljanje njegovim rješavanjem moglo bi se obezbjediti kroz traženje kompromisa u regulativi koja će istovremeno omogućiti popunjavanje upražnjenih radnih mjesta stranim radnicima, ali i zaštititi radnike iz BiH. </w:t>
      </w:r>
    </w:p>
    <w:p w14:paraId="2839F4F8" w14:textId="77777777" w:rsidR="00765CE7" w:rsidRDefault="00765CE7">
      <w:pPr>
        <w:spacing w:line="240" w:lineRule="auto"/>
        <w:rPr>
          <w:bCs/>
          <w:lang w:val="sr-Latn-BA"/>
        </w:rPr>
      </w:pPr>
    </w:p>
    <w:p w14:paraId="52778F6E" w14:textId="77777777" w:rsidR="00765CE7" w:rsidRDefault="00B80ACE">
      <w:pPr>
        <w:numPr>
          <w:ilvl w:val="0"/>
          <w:numId w:val="12"/>
        </w:numPr>
        <w:spacing w:after="0" w:line="240" w:lineRule="auto"/>
        <w:ind w:right="0"/>
        <w:rPr>
          <w:bCs/>
          <w:lang w:val="sr-Latn-BA"/>
        </w:rPr>
      </w:pPr>
      <w:r>
        <w:rPr>
          <w:bCs/>
          <w:lang w:val="sr-Latn-BA"/>
        </w:rPr>
        <w:t>Postoji mogućnost da će BiH m</w:t>
      </w:r>
      <w:r>
        <w:rPr>
          <w:bCs/>
        </w:rPr>
        <w:t>orati zapošljavati strance, ne samo zbog negativnog demografskog priraštaja, već i zbog neadekvatne obrazovne strukture domaćeg stanovništva, posebno kada su u pitanju nove industrije (npr. IT i ekologija). Neke djelatnosti (npr. zdravstvo), zbog masovnog odliva kvalifikovanog kadra u inostranstvo u potrazi za poslom i boljim uslovima rada, mogle</w:t>
      </w:r>
      <w:r w:rsidR="00C73DFC">
        <w:rPr>
          <w:bCs/>
        </w:rPr>
        <w:t xml:space="preserve"> bi se</w:t>
      </w:r>
      <w:r>
        <w:rPr>
          <w:bCs/>
        </w:rPr>
        <w:t xml:space="preserve"> suočiti sa nedostatkom domaće radne snage. </w:t>
      </w:r>
    </w:p>
    <w:p w14:paraId="4FC657C9" w14:textId="77777777" w:rsidR="00765CE7" w:rsidRDefault="00765CE7">
      <w:pPr>
        <w:pStyle w:val="ListParagraph"/>
        <w:rPr>
          <w:bCs/>
          <w:lang w:val="sr-Latn-BA"/>
        </w:rPr>
      </w:pPr>
    </w:p>
    <w:p w14:paraId="07229848" w14:textId="55A80465" w:rsidR="00765CE7" w:rsidRDefault="00B80ACE" w:rsidP="00D27213">
      <w:pPr>
        <w:numPr>
          <w:ilvl w:val="0"/>
          <w:numId w:val="12"/>
        </w:numPr>
        <w:spacing w:after="0" w:line="240" w:lineRule="auto"/>
        <w:ind w:right="0"/>
        <w:rPr>
          <w:bCs/>
          <w:lang w:val="sr-Latn-BA"/>
        </w:rPr>
      </w:pPr>
      <w:r>
        <w:rPr>
          <w:bCs/>
          <w:lang w:val="sr-Latn-BA"/>
        </w:rPr>
        <w:t>Primjena kvotnog sistema kao mehanizma kontrole zapošljavanja stranaca u BiH, prvenstveno kao mehanizma zaštite domaće radne snage, vodeći računa o eventualnim potrebama poslodavaca za masovnijim zapošljavanjem stranih radnika.</w:t>
      </w:r>
    </w:p>
    <w:p w14:paraId="29BD7C12" w14:textId="77777777" w:rsidR="00CD1B20" w:rsidRPr="00D27213" w:rsidRDefault="00CD1B20" w:rsidP="00CD1B20">
      <w:pPr>
        <w:spacing w:after="0" w:line="240" w:lineRule="auto"/>
        <w:ind w:left="0" w:right="0" w:firstLine="0"/>
        <w:rPr>
          <w:bCs/>
          <w:lang w:val="sr-Latn-BA"/>
        </w:rPr>
      </w:pPr>
    </w:p>
    <w:p w14:paraId="5538C8F6" w14:textId="34435AB4" w:rsidR="00765CE7" w:rsidRPr="00950754" w:rsidRDefault="00B80ACE">
      <w:pPr>
        <w:numPr>
          <w:ilvl w:val="0"/>
          <w:numId w:val="12"/>
        </w:numPr>
        <w:spacing w:after="0" w:line="240" w:lineRule="auto"/>
        <w:ind w:right="0"/>
        <w:rPr>
          <w:bCs/>
          <w:lang w:val="sr-Latn-BA"/>
        </w:rPr>
      </w:pPr>
      <w:r w:rsidRPr="00950754">
        <w:rPr>
          <w:bCs/>
          <w:lang w:val="sr-Latn-BA"/>
        </w:rPr>
        <w:t xml:space="preserve">Neophodno je kontinuirano usklađivanje zakonskih rješenja o zapošljavanju stranaca u BiH sa rješenjima u zemljama EU i usklađivanje entitetskih zakona i Zakona o zapošljavanju stranaca u Brčko </w:t>
      </w:r>
      <w:r w:rsidR="006143F0" w:rsidRPr="00950754">
        <w:rPr>
          <w:bCs/>
          <w:lang w:val="sr-Latn-BA"/>
        </w:rPr>
        <w:t>Distriktu</w:t>
      </w:r>
      <w:r w:rsidR="001B49C2" w:rsidRPr="00950754">
        <w:rPr>
          <w:bCs/>
          <w:lang w:val="sr-Latn-BA"/>
        </w:rPr>
        <w:t xml:space="preserve"> </w:t>
      </w:r>
      <w:r w:rsidRPr="00950754">
        <w:rPr>
          <w:bCs/>
          <w:lang w:val="sr-Latn-BA"/>
        </w:rPr>
        <w:t>BiH sa Zakonom o strancima.</w:t>
      </w:r>
    </w:p>
    <w:p w14:paraId="7E827827" w14:textId="77777777" w:rsidR="00765CE7" w:rsidRDefault="00765CE7">
      <w:pPr>
        <w:pStyle w:val="ListParagraph"/>
        <w:rPr>
          <w:bCs/>
          <w:lang w:val="sr-Latn-BA"/>
        </w:rPr>
      </w:pPr>
    </w:p>
    <w:p w14:paraId="6D9E2C27" w14:textId="77777777" w:rsidR="00765CE7" w:rsidRDefault="00765CE7">
      <w:pPr>
        <w:pStyle w:val="ListParagraph"/>
        <w:rPr>
          <w:bCs/>
          <w:lang w:val="sr-Latn-BA"/>
        </w:rPr>
      </w:pPr>
    </w:p>
    <w:p w14:paraId="6810B31A" w14:textId="77777777" w:rsidR="00765CE7" w:rsidRDefault="00B80ACE">
      <w:pPr>
        <w:pStyle w:val="Heading1"/>
        <w:numPr>
          <w:ilvl w:val="0"/>
          <w:numId w:val="6"/>
        </w:numPr>
        <w:rPr>
          <w:szCs w:val="36"/>
        </w:rPr>
      </w:pPr>
      <w:bookmarkStart w:id="20" w:name="_Toc28010141"/>
      <w:r>
        <w:rPr>
          <w:szCs w:val="36"/>
        </w:rPr>
        <w:t>ZAKLJUČCI I PREPORUKE</w:t>
      </w:r>
      <w:bookmarkEnd w:id="20"/>
    </w:p>
    <w:p w14:paraId="63B3CBAD" w14:textId="77777777" w:rsidR="00DD1F4E" w:rsidRDefault="00DD1F4E" w:rsidP="00DD1F4E">
      <w:pPr>
        <w:ind w:left="7"/>
        <w:rPr>
          <w:color w:val="auto"/>
          <w:szCs w:val="24"/>
          <w:highlight w:val="yellow"/>
        </w:rPr>
      </w:pPr>
    </w:p>
    <w:p w14:paraId="0399A6E2" w14:textId="0A50C45F" w:rsidR="00DD1F4E" w:rsidRPr="00DD1F4E" w:rsidRDefault="00ED1398" w:rsidP="00DD1F4E">
      <w:pPr>
        <w:ind w:left="7"/>
        <w:rPr>
          <w:szCs w:val="24"/>
        </w:rPr>
      </w:pPr>
      <w:r>
        <w:rPr>
          <w:szCs w:val="24"/>
        </w:rPr>
        <w:t xml:space="preserve">Platforma zapošljavanja stranaca </w:t>
      </w:r>
      <w:r w:rsidR="00DD1F4E" w:rsidRPr="00DD1F4E">
        <w:rPr>
          <w:szCs w:val="24"/>
        </w:rPr>
        <w:t xml:space="preserve">treba da stvori neophodne pretpostavke za sistemsko i kvalitetno </w:t>
      </w:r>
      <w:r w:rsidR="00DD1F4E" w:rsidRPr="00DD1F4E">
        <w:rPr>
          <w:color w:val="auto"/>
          <w:szCs w:val="24"/>
        </w:rPr>
        <w:t xml:space="preserve">praćenje tržišta rada i potreba poslodavaca za domaćom i stranom radnom snagom i </w:t>
      </w:r>
      <w:r w:rsidR="00DD1F4E" w:rsidRPr="00DD1F4E">
        <w:rPr>
          <w:szCs w:val="24"/>
        </w:rPr>
        <w:t xml:space="preserve">saradnju </w:t>
      </w:r>
      <w:r w:rsidR="00DD1F4E" w:rsidRPr="00DD1F4E">
        <w:rPr>
          <w:color w:val="auto"/>
          <w:szCs w:val="24"/>
        </w:rPr>
        <w:t>u okviru razmjene informacija o zaposlenim građanima BiH u inostranstvu,</w:t>
      </w:r>
      <w:r w:rsidR="00DD1F4E" w:rsidRPr="00DD1F4E">
        <w:rPr>
          <w:szCs w:val="24"/>
        </w:rPr>
        <w:t xml:space="preserve"> za šta je potrebna saradnja i uključivanje institucija sa svih nivoa vlasti u BiH, svake u okviru svoje nadležnosti, kako bi mogli u širem kontekstu sagledati potrebe tržišta rada u BiH. </w:t>
      </w:r>
    </w:p>
    <w:p w14:paraId="38A3E952" w14:textId="77777777" w:rsidR="00DD1F4E" w:rsidRPr="00DD1F4E" w:rsidRDefault="00DD1F4E" w:rsidP="00DD1F4E">
      <w:pPr>
        <w:ind w:left="7"/>
        <w:rPr>
          <w:szCs w:val="24"/>
        </w:rPr>
      </w:pPr>
    </w:p>
    <w:p w14:paraId="7DBD21DC" w14:textId="08000E06" w:rsidR="00DD1F4E" w:rsidRPr="00DD1F4E" w:rsidRDefault="00DD1F4E" w:rsidP="006D5A9D">
      <w:pPr>
        <w:ind w:left="7"/>
        <w:rPr>
          <w:color w:val="auto"/>
          <w:szCs w:val="24"/>
        </w:rPr>
      </w:pPr>
      <w:r w:rsidRPr="00DD1F4E">
        <w:rPr>
          <w:color w:val="auto"/>
          <w:szCs w:val="24"/>
        </w:rPr>
        <w:t xml:space="preserve">Razmatrajući aktivnosti koje je potrebno preduzeti kako bi se stvorile navedene pretpostavke, zaključeno je sljedeće:  </w:t>
      </w:r>
    </w:p>
    <w:p w14:paraId="5BC8F3DA" w14:textId="2785C8B9" w:rsidR="00DD1F4E" w:rsidRPr="00E20F91" w:rsidRDefault="005A0318" w:rsidP="00E20F91">
      <w:pPr>
        <w:pStyle w:val="Heading2"/>
        <w:rPr>
          <w:rFonts w:ascii="Times New Roman" w:hAnsi="Times New Roman" w:cs="Times New Roman"/>
          <w:sz w:val="24"/>
          <w:szCs w:val="24"/>
        </w:rPr>
      </w:pPr>
      <w:bookmarkStart w:id="21" w:name="_Toc28010142"/>
      <w:r>
        <w:rPr>
          <w:rFonts w:ascii="Times New Roman" w:hAnsi="Times New Roman" w:cs="Times New Roman"/>
          <w:sz w:val="24"/>
          <w:szCs w:val="24"/>
        </w:rPr>
        <w:t>6</w:t>
      </w:r>
      <w:r w:rsidR="00DD1F4E" w:rsidRPr="00E20F91">
        <w:rPr>
          <w:rFonts w:ascii="Times New Roman" w:hAnsi="Times New Roman" w:cs="Times New Roman"/>
          <w:sz w:val="24"/>
          <w:szCs w:val="24"/>
        </w:rPr>
        <w:t>.1  Neophodno je usklađivanje zakonskih rješenja o zapošljavanju stranaca u BiH na svim nivoima sa rješenjima u zemljama EU.</w:t>
      </w:r>
      <w:bookmarkEnd w:id="21"/>
    </w:p>
    <w:p w14:paraId="473FD793" w14:textId="77777777" w:rsidR="00D27213" w:rsidRPr="00D27213" w:rsidRDefault="00D27213" w:rsidP="00D27213">
      <w:pPr>
        <w:ind w:left="7"/>
        <w:rPr>
          <w:b/>
          <w:bCs/>
          <w:color w:val="auto"/>
          <w:szCs w:val="24"/>
          <w:lang w:val="sr-Latn-BA"/>
        </w:rPr>
      </w:pPr>
    </w:p>
    <w:p w14:paraId="773DF306" w14:textId="226C7F8D" w:rsidR="00DD1F4E" w:rsidRPr="00DD1F4E" w:rsidRDefault="00DD1F4E" w:rsidP="00DD1F4E">
      <w:pPr>
        <w:spacing w:after="276" w:line="257" w:lineRule="auto"/>
        <w:ind w:left="0" w:right="0" w:firstLine="0"/>
        <w:rPr>
          <w:bCs/>
          <w:lang w:val="sr-Latn-BA"/>
        </w:rPr>
      </w:pPr>
      <w:r w:rsidRPr="00DD1F4E">
        <w:rPr>
          <w:bCs/>
          <w:lang w:val="sr-Latn-BA"/>
        </w:rPr>
        <w:t>U skladu sa integrativnim procesima i procesom priključenja BiH Evropskoj uniji, potrebn</w:t>
      </w:r>
      <w:r w:rsidR="001B49C2">
        <w:rPr>
          <w:bCs/>
          <w:lang w:val="sr-Latn-BA"/>
        </w:rPr>
        <w:t>o</w:t>
      </w:r>
      <w:r w:rsidRPr="00DD1F4E">
        <w:rPr>
          <w:bCs/>
          <w:lang w:val="sr-Latn-BA"/>
        </w:rPr>
        <w:t xml:space="preserve"> je kontinuirano usklađivanje zakonodavstva i u oblasti zapošljavanja stranaca. </w:t>
      </w:r>
    </w:p>
    <w:p w14:paraId="1EA1181B" w14:textId="77777777" w:rsidR="00DD1F4E" w:rsidRPr="00DD1F4E" w:rsidRDefault="00DD1F4E" w:rsidP="00DD1F4E">
      <w:pPr>
        <w:spacing w:after="276" w:line="257" w:lineRule="auto"/>
        <w:ind w:right="0"/>
        <w:rPr>
          <w:bCs/>
        </w:rPr>
      </w:pPr>
      <w:r w:rsidRPr="00DD1F4E">
        <w:rPr>
          <w:bCs/>
        </w:rPr>
        <w:t xml:space="preserve">Nadležne institucije u BiH, u cilju usklađivanja zakonodavstva u oblasti zapošljavanja stranaca, treba da preduzmu sljedeće aktivnosti: </w:t>
      </w:r>
    </w:p>
    <w:p w14:paraId="25267F14" w14:textId="22E5179B" w:rsidR="00DD1F4E" w:rsidRPr="00DD1F4E" w:rsidRDefault="00DD1F4E" w:rsidP="00DD1F4E">
      <w:pPr>
        <w:spacing w:after="0" w:line="240" w:lineRule="auto"/>
        <w:rPr>
          <w:szCs w:val="24"/>
        </w:rPr>
      </w:pPr>
      <w:r w:rsidRPr="00DD1F4E">
        <w:rPr>
          <w:bCs/>
        </w:rPr>
        <w:t>- Kontinuirano unapređenje i usklađivanje Zakona o strancima u dijelu koji se odnosi na zapošljavanje i rad stranaca u BiH sa direktivama EU i zakonskim rješenjima u zemljama EU.</w:t>
      </w:r>
      <w:r w:rsidRPr="00DD1F4E">
        <w:rPr>
          <w:szCs w:val="24"/>
        </w:rPr>
        <w:t xml:space="preserve">      </w:t>
      </w:r>
    </w:p>
    <w:p w14:paraId="50E5EFBE" w14:textId="5D25C20F" w:rsidR="00DD1F4E" w:rsidRPr="00DD1F4E" w:rsidRDefault="00DD1F4E" w:rsidP="00DD1F4E">
      <w:pPr>
        <w:spacing w:after="0" w:line="240" w:lineRule="auto"/>
        <w:rPr>
          <w:szCs w:val="24"/>
        </w:rPr>
      </w:pPr>
    </w:p>
    <w:p w14:paraId="05B18EAD" w14:textId="554B3A63" w:rsidR="00D27213" w:rsidRPr="00683F94" w:rsidRDefault="00E630B1" w:rsidP="00683F94">
      <w:pPr>
        <w:spacing w:after="0" w:line="240" w:lineRule="auto"/>
        <w:rPr>
          <w:szCs w:val="24"/>
        </w:rPr>
      </w:pPr>
      <w:r>
        <w:rPr>
          <w:szCs w:val="24"/>
          <w:lang w:val="sr-Latn-CS"/>
        </w:rPr>
        <w:t xml:space="preserve"> - D</w:t>
      </w:r>
      <w:r w:rsidR="00DD1F4E" w:rsidRPr="00DD1F4E">
        <w:rPr>
          <w:szCs w:val="24"/>
          <w:lang w:val="sr-Latn-CS"/>
        </w:rPr>
        <w:t xml:space="preserve">a se usklade zakoni o zapošljavanju stranaca entiteta i Brčko </w:t>
      </w:r>
      <w:r w:rsidR="006143F0">
        <w:rPr>
          <w:szCs w:val="24"/>
          <w:lang w:val="sr-Latn-CS"/>
        </w:rPr>
        <w:t>Distrikta</w:t>
      </w:r>
      <w:r w:rsidR="00814CE2">
        <w:rPr>
          <w:szCs w:val="24"/>
          <w:lang w:val="sr-Latn-CS"/>
        </w:rPr>
        <w:t xml:space="preserve"> </w:t>
      </w:r>
      <w:r w:rsidR="00DD1F4E" w:rsidRPr="00DD1F4E">
        <w:rPr>
          <w:szCs w:val="24"/>
          <w:lang w:val="sr-Latn-CS"/>
        </w:rPr>
        <w:t xml:space="preserve">BiH </w:t>
      </w:r>
      <w:r w:rsidR="00DD1F4E" w:rsidRPr="00DD1F4E">
        <w:rPr>
          <w:szCs w:val="24"/>
        </w:rPr>
        <w:t>sa Zakonom o strancima, s obzirom da  se boravak stranaca u BiH ne može regulisati entitetskim zakonima.</w:t>
      </w:r>
    </w:p>
    <w:p w14:paraId="07BB2DDC" w14:textId="00DD693A" w:rsidR="00DD1F4E" w:rsidRPr="00E20F91" w:rsidRDefault="005A0318" w:rsidP="00E20F91">
      <w:pPr>
        <w:pStyle w:val="Heading2"/>
        <w:rPr>
          <w:rFonts w:ascii="Times New Roman" w:hAnsi="Times New Roman" w:cs="Times New Roman"/>
          <w:sz w:val="24"/>
          <w:szCs w:val="24"/>
        </w:rPr>
      </w:pPr>
      <w:bookmarkStart w:id="22" w:name="_Toc28010143"/>
      <w:r>
        <w:rPr>
          <w:rFonts w:ascii="Times New Roman" w:hAnsi="Times New Roman" w:cs="Times New Roman"/>
          <w:sz w:val="24"/>
          <w:szCs w:val="24"/>
        </w:rPr>
        <w:t>6</w:t>
      </w:r>
      <w:r w:rsidR="00DD1F4E" w:rsidRPr="00E20F91">
        <w:rPr>
          <w:rFonts w:ascii="Times New Roman" w:hAnsi="Times New Roman" w:cs="Times New Roman"/>
          <w:sz w:val="24"/>
          <w:szCs w:val="24"/>
        </w:rPr>
        <w:t>.2 Potrebno je sagledati mogućnost permanentnog zakonskog usklađivanja u pogledu izuzeća izdavanja radnih dozvola izvan kvote i izuzeća od posjedovanja radnih dozvola.</w:t>
      </w:r>
      <w:bookmarkEnd w:id="22"/>
    </w:p>
    <w:p w14:paraId="32DB0E70" w14:textId="77777777" w:rsidR="00D27213" w:rsidRPr="00D27213" w:rsidRDefault="00D27213" w:rsidP="00D27213">
      <w:pPr>
        <w:ind w:left="7"/>
        <w:rPr>
          <w:b/>
          <w:bCs/>
          <w:color w:val="auto"/>
          <w:szCs w:val="24"/>
          <w:lang w:val="sr-Latn-BA"/>
        </w:rPr>
      </w:pPr>
    </w:p>
    <w:p w14:paraId="18C5BD66" w14:textId="17D50308" w:rsidR="00DD1F4E" w:rsidRPr="00DD1F4E" w:rsidRDefault="00DD1F4E" w:rsidP="00DD1F4E">
      <w:pPr>
        <w:spacing w:after="276" w:line="257" w:lineRule="auto"/>
        <w:ind w:left="0" w:right="0" w:firstLine="0"/>
        <w:rPr>
          <w:bCs/>
        </w:rPr>
      </w:pPr>
      <w:r w:rsidRPr="00DD1F4E">
        <w:rPr>
          <w:bCs/>
          <w:lang w:val="sr-Latn-BA"/>
        </w:rPr>
        <w:t xml:space="preserve">Potrebno je kontinuirano usklađivanje </w:t>
      </w:r>
      <w:r w:rsidR="001704A2">
        <w:rPr>
          <w:bCs/>
          <w:lang w:val="sr-Latn-BA"/>
        </w:rPr>
        <w:t xml:space="preserve">zakonskih odredbi </w:t>
      </w:r>
      <w:r w:rsidR="001704A2" w:rsidRPr="00DD1F4E">
        <w:rPr>
          <w:bCs/>
        </w:rPr>
        <w:t xml:space="preserve">zakona o zapošljavanju stranaca entiteta i Brčko </w:t>
      </w:r>
      <w:r w:rsidR="001704A2">
        <w:rPr>
          <w:bCs/>
        </w:rPr>
        <w:t xml:space="preserve">Distrikta </w:t>
      </w:r>
      <w:r w:rsidR="001704A2" w:rsidRPr="00DD1F4E">
        <w:rPr>
          <w:bCs/>
        </w:rPr>
        <w:t>BiH</w:t>
      </w:r>
      <w:r w:rsidR="001704A2" w:rsidRPr="00DD1F4E">
        <w:rPr>
          <w:bCs/>
          <w:lang w:val="sr-Latn-BA"/>
        </w:rPr>
        <w:t xml:space="preserve"> </w:t>
      </w:r>
      <w:r w:rsidR="001704A2">
        <w:rPr>
          <w:bCs/>
          <w:lang w:val="sr-Latn-BA"/>
        </w:rPr>
        <w:t>sa Zakonom</w:t>
      </w:r>
      <w:r w:rsidRPr="00DD1F4E">
        <w:rPr>
          <w:bCs/>
          <w:lang w:val="sr-Latn-BA"/>
        </w:rPr>
        <w:t xml:space="preserve"> o strancima</w:t>
      </w:r>
      <w:r w:rsidR="00F81A08">
        <w:rPr>
          <w:bCs/>
          <w:lang w:val="sr-Latn-BA"/>
        </w:rPr>
        <w:t xml:space="preserve"> i</w:t>
      </w:r>
      <w:r w:rsidRPr="00DD1F4E">
        <w:rPr>
          <w:bCs/>
        </w:rPr>
        <w:t xml:space="preserve"> </w:t>
      </w:r>
      <w:r w:rsidRPr="00DD1F4E">
        <w:rPr>
          <w:bCs/>
          <w:lang w:val="sr-Latn-BA"/>
        </w:rPr>
        <w:t>u dijelu koji se odnosi na izuzeća izdavanja radnih dozvola izvan kvote i izuzeća od posjedovanja radnih dozvola u odnosu na potrebe tržišta rada u BiH</w:t>
      </w:r>
      <w:r w:rsidRPr="00DD1F4E">
        <w:rPr>
          <w:bCs/>
        </w:rPr>
        <w:t>.</w:t>
      </w:r>
    </w:p>
    <w:p w14:paraId="761027DF" w14:textId="40741D8E" w:rsidR="00DD1F4E" w:rsidRPr="00AF64B2" w:rsidRDefault="00DD1F4E" w:rsidP="00AF64B2">
      <w:pPr>
        <w:spacing w:after="276" w:line="257" w:lineRule="auto"/>
        <w:ind w:left="0" w:right="0" w:firstLine="0"/>
        <w:rPr>
          <w:bCs/>
        </w:rPr>
      </w:pPr>
      <w:r w:rsidRPr="00DD1F4E">
        <w:rPr>
          <w:bCs/>
        </w:rPr>
        <w:t xml:space="preserve">Nadležne institucije u BiH treba da </w:t>
      </w:r>
      <w:r w:rsidR="001704A2">
        <w:rPr>
          <w:bCs/>
        </w:rPr>
        <w:t>utvrde</w:t>
      </w:r>
      <w:r w:rsidRPr="00DD1F4E">
        <w:rPr>
          <w:bCs/>
        </w:rPr>
        <w:t xml:space="preserve"> mehanizme za promjenu  utvrđenih godišnjih kvota za zapošljavanje stranaca u BiH, kako bi se adekvatno odgovorilo na eventualne potrebe tržišta rada.</w:t>
      </w:r>
    </w:p>
    <w:p w14:paraId="64D69038" w14:textId="1C7176A3" w:rsidR="00DD1F4E" w:rsidRPr="00E20F91" w:rsidRDefault="005A0318" w:rsidP="00E20F91">
      <w:pPr>
        <w:pStyle w:val="Heading2"/>
        <w:rPr>
          <w:rFonts w:ascii="Times New Roman" w:hAnsi="Times New Roman" w:cs="Times New Roman"/>
          <w:sz w:val="24"/>
          <w:szCs w:val="24"/>
        </w:rPr>
      </w:pPr>
      <w:bookmarkStart w:id="23" w:name="_Toc28010144"/>
      <w:r>
        <w:rPr>
          <w:rFonts w:ascii="Times New Roman" w:hAnsi="Times New Roman" w:cs="Times New Roman"/>
          <w:sz w:val="24"/>
          <w:szCs w:val="24"/>
        </w:rPr>
        <w:t>6</w:t>
      </w:r>
      <w:r w:rsidR="00DD1F4E" w:rsidRPr="00E20F91">
        <w:rPr>
          <w:rFonts w:ascii="Times New Roman" w:hAnsi="Times New Roman" w:cs="Times New Roman"/>
          <w:sz w:val="24"/>
          <w:szCs w:val="24"/>
        </w:rPr>
        <w:t>.3 Nužno je kontinuirano praćenje iskazanih potreba poslodavaca za nedostajućom radnom snagom i potreba za stranom radnom snagom.</w:t>
      </w:r>
      <w:bookmarkEnd w:id="23"/>
    </w:p>
    <w:p w14:paraId="16679813" w14:textId="77777777" w:rsidR="00DD1F4E" w:rsidRPr="00DD1F4E" w:rsidRDefault="00DD1F4E" w:rsidP="00DD1F4E">
      <w:pPr>
        <w:ind w:left="7" w:firstLine="0"/>
        <w:rPr>
          <w:b/>
          <w:bCs/>
          <w:szCs w:val="24"/>
        </w:rPr>
      </w:pPr>
    </w:p>
    <w:p w14:paraId="1F41E1AD" w14:textId="77777777" w:rsidR="00DD1F4E" w:rsidRPr="00DD1F4E" w:rsidRDefault="00DD1F4E" w:rsidP="00DD1F4E">
      <w:pPr>
        <w:spacing w:after="276" w:line="257" w:lineRule="auto"/>
        <w:ind w:left="7" w:right="0"/>
        <w:rPr>
          <w:color w:val="181717"/>
        </w:rPr>
      </w:pPr>
      <w:r w:rsidRPr="00DD1F4E">
        <w:t>Kontinuirano praćenje iskazanih potreba poslodavaca za nedostajućom radnom snagom i potreba za stranom radnom snagom</w:t>
      </w:r>
      <w:r w:rsidRPr="00DD1F4E">
        <w:rPr>
          <w:color w:val="181717"/>
        </w:rPr>
        <w:t xml:space="preserve"> osigurava prije svega osnovu za aktivniju ulogu institucija na različitim nivoima vlasti u smislu pripreme detaljnijih analiza i uvida u stvarno stanje što će rezultirati izradom programa i planova, kao i drugačiju organizaciju postojećih kapaciteta.</w:t>
      </w:r>
    </w:p>
    <w:p w14:paraId="06CA901B" w14:textId="77777777" w:rsidR="004D6206" w:rsidRDefault="004D6206" w:rsidP="00DD1F4E">
      <w:pPr>
        <w:spacing w:after="276" w:line="257" w:lineRule="auto"/>
        <w:ind w:left="7" w:right="0"/>
        <w:rPr>
          <w:bCs/>
        </w:rPr>
      </w:pPr>
    </w:p>
    <w:p w14:paraId="3D7B7C58" w14:textId="54EC42C6" w:rsidR="00DD1F4E" w:rsidRPr="00DD1F4E" w:rsidRDefault="00DD1F4E" w:rsidP="00DD1F4E">
      <w:pPr>
        <w:spacing w:after="276" w:line="257" w:lineRule="auto"/>
        <w:ind w:left="7" w:right="0"/>
      </w:pPr>
      <w:r w:rsidRPr="00DD1F4E">
        <w:rPr>
          <w:bCs/>
        </w:rPr>
        <w:t>Nadležne institucije u BiH treba da preduzmu sljedeće aktivnosti:</w:t>
      </w:r>
    </w:p>
    <w:p w14:paraId="455E1549" w14:textId="12894514" w:rsidR="00DD1F4E" w:rsidRPr="00DD1F4E" w:rsidRDefault="003A293B" w:rsidP="003A293B">
      <w:pPr>
        <w:numPr>
          <w:ilvl w:val="0"/>
          <w:numId w:val="12"/>
        </w:numPr>
        <w:spacing w:after="276" w:line="257" w:lineRule="auto"/>
        <w:ind w:right="0"/>
        <w:contextualSpacing/>
      </w:pPr>
      <w:r w:rsidRPr="003A293B">
        <w:t>Kantonalne službe za zapošljavanje prema instrukcijama Federalnog zavoda za zapošljavanje i zavodi za zapošljavanje R</w:t>
      </w:r>
      <w:r w:rsidR="0091299D">
        <w:t xml:space="preserve">epublike </w:t>
      </w:r>
      <w:r w:rsidRPr="003A293B">
        <w:t>S</w:t>
      </w:r>
      <w:r w:rsidR="0091299D">
        <w:t>rpske</w:t>
      </w:r>
      <w:r w:rsidRPr="003A293B">
        <w:t xml:space="preserve"> i </w:t>
      </w:r>
      <w:r w:rsidR="001818E9">
        <w:t>B</w:t>
      </w:r>
      <w:r>
        <w:t xml:space="preserve">rčko </w:t>
      </w:r>
      <w:r w:rsidR="006143F0">
        <w:t>Distrikta</w:t>
      </w:r>
      <w:r w:rsidR="001818E9">
        <w:t xml:space="preserve"> </w:t>
      </w:r>
      <w:r>
        <w:t xml:space="preserve">BiH </w:t>
      </w:r>
      <w:r w:rsidR="00DD1F4E" w:rsidRPr="00DD1F4E">
        <w:t xml:space="preserve">trebaju periodično vršiti istraživanja tržišta rada radi utvrđivanja potrebnog kadra (minimum jednom godišnje, po potrebi i češće). </w:t>
      </w:r>
    </w:p>
    <w:p w14:paraId="456358C7" w14:textId="71C9AA89" w:rsidR="00DD1F4E" w:rsidRPr="00950754" w:rsidRDefault="00DD1F4E" w:rsidP="0091299D">
      <w:pPr>
        <w:numPr>
          <w:ilvl w:val="0"/>
          <w:numId w:val="12"/>
        </w:numPr>
        <w:spacing w:after="276" w:line="257" w:lineRule="auto"/>
        <w:ind w:right="0"/>
        <w:contextualSpacing/>
      </w:pPr>
      <w:r w:rsidRPr="00950754">
        <w:lastRenderedPageBreak/>
        <w:t xml:space="preserve">Kod utvrđivanja godišnjih kvota za zapošljavanje stranaca, </w:t>
      </w:r>
      <w:r w:rsidR="0091299D" w:rsidRPr="00950754">
        <w:t>Federaln</w:t>
      </w:r>
      <w:r w:rsidR="005F638F" w:rsidRPr="00950754">
        <w:t>i</w:t>
      </w:r>
      <w:r w:rsidR="0091299D" w:rsidRPr="00950754">
        <w:t xml:space="preserve"> zavod za zapošljavanje </w:t>
      </w:r>
      <w:r w:rsidR="005F638F" w:rsidRPr="00950754">
        <w:t xml:space="preserve">u saradnji s kantonalnim službama za zapošljavanje </w:t>
      </w:r>
      <w:r w:rsidR="0091299D" w:rsidRPr="00950754">
        <w:t xml:space="preserve">i zavodi Republike Srpske i </w:t>
      </w:r>
      <w:r w:rsidR="001818E9" w:rsidRPr="00950754">
        <w:t>B</w:t>
      </w:r>
      <w:r w:rsidR="0091299D" w:rsidRPr="00950754">
        <w:t xml:space="preserve">rčko </w:t>
      </w:r>
      <w:r w:rsidR="006143F0" w:rsidRPr="00950754">
        <w:t>Distrikta</w:t>
      </w:r>
      <w:r w:rsidR="001818E9" w:rsidRPr="00950754">
        <w:t xml:space="preserve"> </w:t>
      </w:r>
      <w:r w:rsidR="0091299D" w:rsidRPr="00950754">
        <w:t xml:space="preserve">BiH </w:t>
      </w:r>
      <w:r w:rsidRPr="00950754">
        <w:t>trebaju ostvariti punu saradnju sa udruženjima poslodavaca i obrazovnim institucijama u cilju utvrđivanja stvarnih potreba za zapošljavanjem stranih radnika.</w:t>
      </w:r>
    </w:p>
    <w:p w14:paraId="0F519A2B" w14:textId="77777777" w:rsidR="00DD1F4E" w:rsidRPr="00DD1F4E" w:rsidRDefault="00DD1F4E" w:rsidP="00DD1F4E">
      <w:pPr>
        <w:numPr>
          <w:ilvl w:val="0"/>
          <w:numId w:val="12"/>
        </w:numPr>
        <w:spacing w:after="276" w:line="257" w:lineRule="auto"/>
        <w:ind w:right="0"/>
        <w:contextualSpacing/>
      </w:pPr>
      <w:r w:rsidRPr="00DD1F4E">
        <w:t>Stvoriti zakonske mehanizme za utvrđivanje procedura za izmjene godišnjih kvota zapošljavanja stranaca, u skladu sa iskazanim potrebama.</w:t>
      </w:r>
    </w:p>
    <w:p w14:paraId="48942F39" w14:textId="77777777" w:rsidR="00D47561" w:rsidRDefault="00D47561" w:rsidP="00DD1F4E">
      <w:pPr>
        <w:ind w:left="7"/>
        <w:rPr>
          <w:b/>
          <w:bCs/>
          <w:szCs w:val="24"/>
        </w:rPr>
      </w:pPr>
    </w:p>
    <w:p w14:paraId="54709BA0" w14:textId="77777777" w:rsidR="00DD1F4E" w:rsidRPr="00DD1F4E" w:rsidRDefault="00DD1F4E" w:rsidP="00DD1F4E">
      <w:pPr>
        <w:spacing w:after="0" w:line="257" w:lineRule="auto"/>
        <w:ind w:left="0" w:right="0" w:firstLine="709"/>
      </w:pPr>
      <w:r w:rsidRPr="00DD1F4E">
        <w:rPr>
          <w:bCs/>
        </w:rPr>
        <w:t xml:space="preserve">  </w:t>
      </w:r>
    </w:p>
    <w:sectPr w:rsidR="00DD1F4E" w:rsidRPr="00DD1F4E">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D8C16" w14:textId="77777777" w:rsidR="00BB7FA6" w:rsidRDefault="00BB7FA6">
      <w:pPr>
        <w:spacing w:after="0" w:line="240" w:lineRule="auto"/>
      </w:pPr>
      <w:r>
        <w:separator/>
      </w:r>
    </w:p>
  </w:endnote>
  <w:endnote w:type="continuationSeparator" w:id="0">
    <w:p w14:paraId="75317543" w14:textId="77777777" w:rsidR="00BB7FA6" w:rsidRDefault="00BB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HBCEP+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711124"/>
      <w:docPartObj>
        <w:docPartGallery w:val="AutoText"/>
      </w:docPartObj>
    </w:sdtPr>
    <w:sdtEndPr/>
    <w:sdtContent>
      <w:p w14:paraId="58D9C8B1" w14:textId="299693F3" w:rsidR="00995CD5" w:rsidRDefault="00995CD5">
        <w:pPr>
          <w:pStyle w:val="Footer"/>
          <w:jc w:val="right"/>
        </w:pPr>
        <w:r>
          <w:fldChar w:fldCharType="begin"/>
        </w:r>
        <w:r>
          <w:instrText xml:space="preserve"> PAGE   \* MERGEFORMAT </w:instrText>
        </w:r>
        <w:r>
          <w:fldChar w:fldCharType="separate"/>
        </w:r>
        <w:r w:rsidR="005A43DB">
          <w:t>21</w:t>
        </w:r>
        <w:r>
          <w:fldChar w:fldCharType="end"/>
        </w:r>
      </w:p>
    </w:sdtContent>
  </w:sdt>
  <w:p w14:paraId="35F50A3D" w14:textId="77777777" w:rsidR="00995CD5" w:rsidRDefault="0099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6245" w14:textId="77777777" w:rsidR="00BB7FA6" w:rsidRDefault="00BB7FA6">
      <w:pPr>
        <w:spacing w:after="0" w:line="240" w:lineRule="auto"/>
      </w:pPr>
      <w:r>
        <w:separator/>
      </w:r>
    </w:p>
  </w:footnote>
  <w:footnote w:type="continuationSeparator" w:id="0">
    <w:p w14:paraId="79729043" w14:textId="77777777" w:rsidR="00BB7FA6" w:rsidRDefault="00BB7FA6">
      <w:pPr>
        <w:spacing w:after="0" w:line="240" w:lineRule="auto"/>
      </w:pPr>
      <w:r>
        <w:continuationSeparator/>
      </w:r>
    </w:p>
  </w:footnote>
  <w:footnote w:id="1">
    <w:p w14:paraId="70499DF2" w14:textId="77777777" w:rsidR="00995CD5" w:rsidRDefault="00995CD5">
      <w:pPr>
        <w:pStyle w:val="FootnoteText"/>
        <w:jc w:val="both"/>
        <w:rPr>
          <w:sz w:val="16"/>
          <w:szCs w:val="16"/>
        </w:rPr>
      </w:pPr>
      <w:r>
        <w:rPr>
          <w:rStyle w:val="FootnoteReference"/>
          <w:sz w:val="16"/>
          <w:szCs w:val="16"/>
        </w:rPr>
        <w:footnoteRef/>
      </w:r>
      <w:r>
        <w:rPr>
          <w:sz w:val="16"/>
          <w:szCs w:val="16"/>
        </w:rPr>
        <w:t xml:space="preserve"> Napomena: Od 2014. godine izvještaji o izdatim radnim dozvolama strancima u BiH prema djelatnostima izrađuju se prema Nace Rev. 2 klasifikaciji djelatnosti. Izvještaji iz ranijih godina rađeni su prema Nace Rev. 1.1. klasifikaciji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6582" w14:textId="77777777" w:rsidR="00995CD5" w:rsidRDefault="00995CD5">
    <w:pPr>
      <w:pStyle w:val="Header"/>
      <w:jc w:val="right"/>
    </w:pPr>
    <w:r>
      <w:t>Nacrt</w:t>
    </w:r>
  </w:p>
  <w:p w14:paraId="3A02114E" w14:textId="77777777" w:rsidR="00995CD5" w:rsidRDefault="00995C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45C"/>
    <w:multiLevelType w:val="hybridMultilevel"/>
    <w:tmpl w:val="E166CC62"/>
    <w:lvl w:ilvl="0" w:tplc="141A0001">
      <w:start w:val="1"/>
      <w:numFmt w:val="bullet"/>
      <w:lvlText w:val=""/>
      <w:lvlJc w:val="left"/>
      <w:pPr>
        <w:ind w:left="720" w:hanging="360"/>
      </w:pPr>
      <w:rPr>
        <w:rFonts w:ascii="Symbol" w:hAnsi="Symbol" w:hint="default"/>
      </w:rPr>
    </w:lvl>
    <w:lvl w:ilvl="1" w:tplc="735E4976">
      <w:numFmt w:val="bullet"/>
      <w:lvlText w:val="•"/>
      <w:lvlJc w:val="left"/>
      <w:pPr>
        <w:ind w:left="1440" w:hanging="360"/>
      </w:pPr>
      <w:rPr>
        <w:rFonts w:ascii="Times New Roman" w:eastAsia="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483EAD"/>
    <w:multiLevelType w:val="multilevel"/>
    <w:tmpl w:val="02483EAD"/>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26624A7"/>
    <w:multiLevelType w:val="hybridMultilevel"/>
    <w:tmpl w:val="B2F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31852"/>
    <w:multiLevelType w:val="hybridMultilevel"/>
    <w:tmpl w:val="7296728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CB47EAD"/>
    <w:multiLevelType w:val="hybridMultilevel"/>
    <w:tmpl w:val="2C4CBC3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F1960DA"/>
    <w:multiLevelType w:val="multilevel"/>
    <w:tmpl w:val="0F1960DA"/>
    <w:lvl w:ilvl="0">
      <w:start w:val="4"/>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F2B1CB2"/>
    <w:multiLevelType w:val="hybridMultilevel"/>
    <w:tmpl w:val="01E28DC8"/>
    <w:lvl w:ilvl="0" w:tplc="F558CB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F2D0F"/>
    <w:multiLevelType w:val="hybridMultilevel"/>
    <w:tmpl w:val="0E0EAED6"/>
    <w:lvl w:ilvl="0" w:tplc="DCA680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C25B7"/>
    <w:multiLevelType w:val="hybridMultilevel"/>
    <w:tmpl w:val="4B462B4E"/>
    <w:lvl w:ilvl="0" w:tplc="E5905818">
      <w:numFmt w:val="bullet"/>
      <w:lvlText w:val="-"/>
      <w:lvlJc w:val="left"/>
      <w:pPr>
        <w:ind w:left="1080" w:hanging="360"/>
      </w:pPr>
      <w:rPr>
        <w:rFonts w:ascii="Times New Roman" w:hAnsi="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9" w15:restartNumberingAfterBreak="0">
    <w:nsid w:val="14EF3C36"/>
    <w:multiLevelType w:val="hybridMultilevel"/>
    <w:tmpl w:val="EC2CE50C"/>
    <w:lvl w:ilvl="0" w:tplc="350C8E3A">
      <w:start w:val="1"/>
      <w:numFmt w:val="decimal"/>
      <w:lvlText w:val="(%1)"/>
      <w:lvlJc w:val="left"/>
      <w:pPr>
        <w:ind w:left="720" w:hanging="360"/>
      </w:pPr>
      <w:rPr>
        <w:rFonts w:hint="default"/>
        <w:i w:val="0"/>
        <w:color w:val="auto"/>
      </w:rPr>
    </w:lvl>
    <w:lvl w:ilvl="1" w:tplc="80D61350">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44267"/>
    <w:multiLevelType w:val="hybridMultilevel"/>
    <w:tmpl w:val="600E8C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6366B"/>
    <w:multiLevelType w:val="multilevel"/>
    <w:tmpl w:val="20A6366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3680F5B"/>
    <w:multiLevelType w:val="hybridMultilevel"/>
    <w:tmpl w:val="94C4CA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25210DEF"/>
    <w:multiLevelType w:val="multilevel"/>
    <w:tmpl w:val="319A48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C4555C"/>
    <w:multiLevelType w:val="hybridMultilevel"/>
    <w:tmpl w:val="C6F8CB40"/>
    <w:lvl w:ilvl="0" w:tplc="141A0001">
      <w:start w:val="1"/>
      <w:numFmt w:val="bullet"/>
      <w:lvlText w:val=""/>
      <w:lvlJc w:val="left"/>
      <w:pPr>
        <w:ind w:left="1800" w:hanging="360"/>
      </w:pPr>
      <w:rPr>
        <w:rFonts w:ascii="Symbol" w:hAnsi="Symbol"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15" w15:restartNumberingAfterBreak="0">
    <w:nsid w:val="2A890011"/>
    <w:multiLevelType w:val="hybridMultilevel"/>
    <w:tmpl w:val="4C0E37E8"/>
    <w:lvl w:ilvl="0" w:tplc="1E70FB0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E4D57"/>
    <w:multiLevelType w:val="multilevel"/>
    <w:tmpl w:val="2DDE4D57"/>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325B04F6"/>
    <w:multiLevelType w:val="hybridMultilevel"/>
    <w:tmpl w:val="1E8C4570"/>
    <w:lvl w:ilvl="0" w:tplc="7B805EB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32965C81"/>
    <w:multiLevelType w:val="hybridMultilevel"/>
    <w:tmpl w:val="FBA2FEEA"/>
    <w:lvl w:ilvl="0" w:tplc="8F66BB74">
      <w:numFmt w:val="bullet"/>
      <w:lvlText w:val="-"/>
      <w:lvlJc w:val="left"/>
      <w:pPr>
        <w:ind w:left="720" w:hanging="360"/>
      </w:pPr>
      <w:rPr>
        <w:rFonts w:ascii="Arial" w:eastAsia="Times New Roman"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9" w15:restartNumberingAfterBreak="0">
    <w:nsid w:val="3488014C"/>
    <w:multiLevelType w:val="hybridMultilevel"/>
    <w:tmpl w:val="95E85006"/>
    <w:lvl w:ilvl="0" w:tplc="70304E7E">
      <w:start w:val="3"/>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20" w15:restartNumberingAfterBreak="0">
    <w:nsid w:val="381F4977"/>
    <w:multiLevelType w:val="multilevel"/>
    <w:tmpl w:val="381F4977"/>
    <w:lvl w:ilvl="0">
      <w:start w:val="4"/>
      <w:numFmt w:val="decimal"/>
      <w:lvlText w:val="%1."/>
      <w:lvlJc w:val="left"/>
      <w:pPr>
        <w:ind w:left="540" w:hanging="540"/>
      </w:pPr>
      <w:rPr>
        <w:rFonts w:hint="default"/>
      </w:rPr>
    </w:lvl>
    <w:lvl w:ilvl="1">
      <w:start w:val="2"/>
      <w:numFmt w:val="decimal"/>
      <w:lvlText w:val="%1.%2."/>
      <w:lvlJc w:val="left"/>
      <w:pPr>
        <w:ind w:left="546" w:hanging="540"/>
      </w:pPr>
      <w:rPr>
        <w:rFonts w:hint="default"/>
      </w:rPr>
    </w:lvl>
    <w:lvl w:ilvl="2">
      <w:start w:val="4"/>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1" w15:restartNumberingAfterBreak="0">
    <w:nsid w:val="3A191071"/>
    <w:multiLevelType w:val="hybridMultilevel"/>
    <w:tmpl w:val="190401D0"/>
    <w:lvl w:ilvl="0" w:tplc="350C8E3A">
      <w:start w:val="1"/>
      <w:numFmt w:val="decimal"/>
      <w:lvlText w:val="(%1)"/>
      <w:lvlJc w:val="left"/>
      <w:pPr>
        <w:ind w:left="720" w:hanging="360"/>
      </w:pPr>
      <w:rPr>
        <w:rFonts w:hint="default"/>
        <w:i w:val="0"/>
        <w:color w:val="auto"/>
      </w:rPr>
    </w:lvl>
    <w:lvl w:ilvl="1" w:tplc="C4A80A40">
      <w:start w:val="1"/>
      <w:numFmt w:val="decimal"/>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14976"/>
    <w:multiLevelType w:val="hybridMultilevel"/>
    <w:tmpl w:val="E2D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254EF"/>
    <w:multiLevelType w:val="multilevel"/>
    <w:tmpl w:val="45C254EF"/>
    <w:lvl w:ilvl="0">
      <w:start w:val="4"/>
      <w:numFmt w:val="decimal"/>
      <w:lvlText w:val="%1."/>
      <w:lvlJc w:val="left"/>
      <w:pPr>
        <w:ind w:left="37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092" w:hanging="1080"/>
      </w:pPr>
      <w:rPr>
        <w:rFonts w:hint="default"/>
      </w:rPr>
    </w:lvl>
    <w:lvl w:ilvl="6">
      <w:start w:val="1"/>
      <w:numFmt w:val="decimal"/>
      <w:isLgl/>
      <w:lvlText w:val="%1.%2.%3.%4.%5.%6.%7."/>
      <w:lvlJc w:val="left"/>
      <w:pPr>
        <w:ind w:left="1452" w:hanging="1440"/>
      </w:pPr>
      <w:rPr>
        <w:rFonts w:hint="default"/>
      </w:rPr>
    </w:lvl>
    <w:lvl w:ilvl="7">
      <w:start w:val="1"/>
      <w:numFmt w:val="decimal"/>
      <w:isLgl/>
      <w:lvlText w:val="%1.%2.%3.%4.%5.%6.%7.%8."/>
      <w:lvlJc w:val="left"/>
      <w:pPr>
        <w:ind w:left="1452" w:hanging="1440"/>
      </w:pPr>
      <w:rPr>
        <w:rFonts w:hint="default"/>
      </w:rPr>
    </w:lvl>
    <w:lvl w:ilvl="8">
      <w:start w:val="1"/>
      <w:numFmt w:val="decimal"/>
      <w:isLgl/>
      <w:lvlText w:val="%1.%2.%3.%4.%5.%6.%7.%8.%9."/>
      <w:lvlJc w:val="left"/>
      <w:pPr>
        <w:ind w:left="1812" w:hanging="1800"/>
      </w:pPr>
      <w:rPr>
        <w:rFonts w:hint="default"/>
      </w:rPr>
    </w:lvl>
  </w:abstractNum>
  <w:abstractNum w:abstractNumId="24" w15:restartNumberingAfterBreak="0">
    <w:nsid w:val="4B9421B2"/>
    <w:multiLevelType w:val="hybridMultilevel"/>
    <w:tmpl w:val="04F0DF3E"/>
    <w:lvl w:ilvl="0" w:tplc="82CEBB54">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6452D"/>
    <w:multiLevelType w:val="hybridMultilevel"/>
    <w:tmpl w:val="6942A6A0"/>
    <w:lvl w:ilvl="0" w:tplc="C9E048E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591E1692"/>
    <w:multiLevelType w:val="multilevel"/>
    <w:tmpl w:val="591E1692"/>
    <w:lvl w:ilvl="0">
      <w:start w:val="4"/>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15:restartNumberingAfterBreak="0">
    <w:nsid w:val="59DE75BC"/>
    <w:multiLevelType w:val="hybridMultilevel"/>
    <w:tmpl w:val="0BA298D0"/>
    <w:lvl w:ilvl="0" w:tplc="F558CB4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558CB46">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8660B"/>
    <w:multiLevelType w:val="multilevel"/>
    <w:tmpl w:val="5AD8660B"/>
    <w:lvl w:ilvl="0">
      <w:start w:val="1"/>
      <w:numFmt w:val="decimal"/>
      <w:lvlText w:val="%1."/>
      <w:lvlJc w:val="left"/>
      <w:pPr>
        <w:ind w:left="372" w:hanging="360"/>
      </w:pPr>
      <w:rPr>
        <w:rFonts w:hint="default"/>
      </w:rPr>
    </w:lvl>
    <w:lvl w:ilvl="1">
      <w:start w:val="1"/>
      <w:numFmt w:val="lowerLetter"/>
      <w:lvlText w:val="%2."/>
      <w:lvlJc w:val="left"/>
      <w:pPr>
        <w:ind w:left="1092" w:hanging="360"/>
      </w:p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29" w15:restartNumberingAfterBreak="0">
    <w:nsid w:val="5F384150"/>
    <w:multiLevelType w:val="multilevel"/>
    <w:tmpl w:val="5F384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6DE296D"/>
    <w:multiLevelType w:val="multilevel"/>
    <w:tmpl w:val="66DE296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700635"/>
    <w:multiLevelType w:val="hybridMultilevel"/>
    <w:tmpl w:val="AE42C0A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1E5AAC"/>
    <w:multiLevelType w:val="hybridMultilevel"/>
    <w:tmpl w:val="CE729A4E"/>
    <w:lvl w:ilvl="0" w:tplc="2E8648B6">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734F71E0"/>
    <w:multiLevelType w:val="hybridMultilevel"/>
    <w:tmpl w:val="A9209D26"/>
    <w:lvl w:ilvl="0" w:tplc="350C8E3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D5FEF"/>
    <w:multiLevelType w:val="multilevel"/>
    <w:tmpl w:val="7E1D5FEF"/>
    <w:lvl w:ilvl="0">
      <w:start w:val="4"/>
      <w:numFmt w:val="bullet"/>
      <w:lvlText w:val="-"/>
      <w:lvlJc w:val="left"/>
      <w:pPr>
        <w:ind w:left="928" w:hanging="360"/>
      </w:pPr>
      <w:rPr>
        <w:rFonts w:ascii="Times New Roman" w:eastAsia="Times New Roman" w:hAnsi="Times New Roman" w:cs="Times New Roman"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num w:numId="1">
    <w:abstractNumId w:val="28"/>
  </w:num>
  <w:num w:numId="2">
    <w:abstractNumId w:val="1"/>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num>
  <w:num w:numId="11">
    <w:abstractNumId w:val="29"/>
  </w:num>
  <w:num w:numId="12">
    <w:abstractNumId w:val="34"/>
  </w:num>
  <w:num w:numId="13">
    <w:abstractNumId w:val="24"/>
  </w:num>
  <w:num w:numId="14">
    <w:abstractNumId w:val="6"/>
  </w:num>
  <w:num w:numId="15">
    <w:abstractNumId w:val="15"/>
  </w:num>
  <w:num w:numId="16">
    <w:abstractNumId w:val="31"/>
  </w:num>
  <w:num w:numId="17">
    <w:abstractNumId w:val="21"/>
  </w:num>
  <w:num w:numId="18">
    <w:abstractNumId w:val="27"/>
  </w:num>
  <w:num w:numId="19">
    <w:abstractNumId w:val="7"/>
  </w:num>
  <w:num w:numId="20">
    <w:abstractNumId w:val="9"/>
  </w:num>
  <w:num w:numId="21">
    <w:abstractNumId w:val="10"/>
  </w:num>
  <w:num w:numId="22">
    <w:abstractNumId w:val="17"/>
  </w:num>
  <w:num w:numId="23">
    <w:abstractNumId w:val="2"/>
  </w:num>
  <w:num w:numId="24">
    <w:abstractNumId w:val="22"/>
  </w:num>
  <w:num w:numId="25">
    <w:abstractNumId w:val="25"/>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2"/>
  </w:num>
  <w:num w:numId="29">
    <w:abstractNumId w:val="33"/>
  </w:num>
  <w:num w:numId="30">
    <w:abstractNumId w:val="19"/>
  </w:num>
  <w:num w:numId="31">
    <w:abstractNumId w:val="3"/>
  </w:num>
  <w:num w:numId="32">
    <w:abstractNumId w:val="4"/>
  </w:num>
  <w:num w:numId="33">
    <w:abstractNumId w:val="0"/>
  </w:num>
  <w:num w:numId="34">
    <w:abstractNumId w:val="1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ED"/>
    <w:rsid w:val="000033B1"/>
    <w:rsid w:val="0000379D"/>
    <w:rsid w:val="00006D45"/>
    <w:rsid w:val="00007486"/>
    <w:rsid w:val="00012299"/>
    <w:rsid w:val="000147B7"/>
    <w:rsid w:val="000155C9"/>
    <w:rsid w:val="000205A0"/>
    <w:rsid w:val="00031A55"/>
    <w:rsid w:val="00040046"/>
    <w:rsid w:val="000423EF"/>
    <w:rsid w:val="00044B3D"/>
    <w:rsid w:val="00046E0A"/>
    <w:rsid w:val="00046FF0"/>
    <w:rsid w:val="0005161F"/>
    <w:rsid w:val="00052671"/>
    <w:rsid w:val="0005780E"/>
    <w:rsid w:val="00061131"/>
    <w:rsid w:val="00066CB6"/>
    <w:rsid w:val="00067ABF"/>
    <w:rsid w:val="00067D19"/>
    <w:rsid w:val="00075DF2"/>
    <w:rsid w:val="00077411"/>
    <w:rsid w:val="000842EE"/>
    <w:rsid w:val="00085539"/>
    <w:rsid w:val="0008708E"/>
    <w:rsid w:val="00087F81"/>
    <w:rsid w:val="0009253A"/>
    <w:rsid w:val="00092621"/>
    <w:rsid w:val="000950BF"/>
    <w:rsid w:val="00096356"/>
    <w:rsid w:val="0009683E"/>
    <w:rsid w:val="00097D48"/>
    <w:rsid w:val="000A0024"/>
    <w:rsid w:val="000A0F0B"/>
    <w:rsid w:val="000A25A8"/>
    <w:rsid w:val="000A3CAC"/>
    <w:rsid w:val="000A791D"/>
    <w:rsid w:val="000B0C21"/>
    <w:rsid w:val="000B3022"/>
    <w:rsid w:val="000B350D"/>
    <w:rsid w:val="000B4805"/>
    <w:rsid w:val="000C1743"/>
    <w:rsid w:val="000C4189"/>
    <w:rsid w:val="000C5BFF"/>
    <w:rsid w:val="000C5F53"/>
    <w:rsid w:val="000D0720"/>
    <w:rsid w:val="000D0970"/>
    <w:rsid w:val="000D16EE"/>
    <w:rsid w:val="000D1C37"/>
    <w:rsid w:val="000D4ADE"/>
    <w:rsid w:val="000D7433"/>
    <w:rsid w:val="000E2350"/>
    <w:rsid w:val="000E33DC"/>
    <w:rsid w:val="000E45F6"/>
    <w:rsid w:val="000F0996"/>
    <w:rsid w:val="000F2B58"/>
    <w:rsid w:val="000F474A"/>
    <w:rsid w:val="000F4985"/>
    <w:rsid w:val="000F6589"/>
    <w:rsid w:val="000F6AB6"/>
    <w:rsid w:val="00100EDC"/>
    <w:rsid w:val="0010291A"/>
    <w:rsid w:val="00103F88"/>
    <w:rsid w:val="00113A66"/>
    <w:rsid w:val="00114E73"/>
    <w:rsid w:val="0012691B"/>
    <w:rsid w:val="00127A59"/>
    <w:rsid w:val="0013305F"/>
    <w:rsid w:val="00140DE7"/>
    <w:rsid w:val="001442A9"/>
    <w:rsid w:val="0015094B"/>
    <w:rsid w:val="00152977"/>
    <w:rsid w:val="00153330"/>
    <w:rsid w:val="00155CC6"/>
    <w:rsid w:val="001609A9"/>
    <w:rsid w:val="00164BD5"/>
    <w:rsid w:val="001704A2"/>
    <w:rsid w:val="00172555"/>
    <w:rsid w:val="001727D4"/>
    <w:rsid w:val="00173D35"/>
    <w:rsid w:val="0017410D"/>
    <w:rsid w:val="001751D4"/>
    <w:rsid w:val="00176BFF"/>
    <w:rsid w:val="0017734F"/>
    <w:rsid w:val="00180B2E"/>
    <w:rsid w:val="001818E9"/>
    <w:rsid w:val="00183018"/>
    <w:rsid w:val="00183B46"/>
    <w:rsid w:val="00183F50"/>
    <w:rsid w:val="00184212"/>
    <w:rsid w:val="001843D2"/>
    <w:rsid w:val="00184F3C"/>
    <w:rsid w:val="001864D9"/>
    <w:rsid w:val="001917B9"/>
    <w:rsid w:val="00193D97"/>
    <w:rsid w:val="0019674D"/>
    <w:rsid w:val="001A7AAE"/>
    <w:rsid w:val="001A7F4B"/>
    <w:rsid w:val="001B049C"/>
    <w:rsid w:val="001B2A91"/>
    <w:rsid w:val="001B3FCD"/>
    <w:rsid w:val="001B49C2"/>
    <w:rsid w:val="001B76DC"/>
    <w:rsid w:val="001C1277"/>
    <w:rsid w:val="001C1E71"/>
    <w:rsid w:val="001C7CD7"/>
    <w:rsid w:val="001D4CAB"/>
    <w:rsid w:val="001D7E23"/>
    <w:rsid w:val="001E2463"/>
    <w:rsid w:val="001E4BB5"/>
    <w:rsid w:val="001E68E2"/>
    <w:rsid w:val="001F45E4"/>
    <w:rsid w:val="001F490B"/>
    <w:rsid w:val="001F4AE3"/>
    <w:rsid w:val="001F4DBE"/>
    <w:rsid w:val="001F54B0"/>
    <w:rsid w:val="001F5648"/>
    <w:rsid w:val="001F6329"/>
    <w:rsid w:val="0020020D"/>
    <w:rsid w:val="00202BBB"/>
    <w:rsid w:val="002062F4"/>
    <w:rsid w:val="00210446"/>
    <w:rsid w:val="002115D0"/>
    <w:rsid w:val="002117D3"/>
    <w:rsid w:val="00214B68"/>
    <w:rsid w:val="00217C01"/>
    <w:rsid w:val="00221B5E"/>
    <w:rsid w:val="00222280"/>
    <w:rsid w:val="00223E38"/>
    <w:rsid w:val="00230141"/>
    <w:rsid w:val="00234B0C"/>
    <w:rsid w:val="002417D3"/>
    <w:rsid w:val="00242BA2"/>
    <w:rsid w:val="002432B0"/>
    <w:rsid w:val="00243CE5"/>
    <w:rsid w:val="00251D15"/>
    <w:rsid w:val="00252881"/>
    <w:rsid w:val="00254764"/>
    <w:rsid w:val="00254F55"/>
    <w:rsid w:val="0025506B"/>
    <w:rsid w:val="00256685"/>
    <w:rsid w:val="00260EE2"/>
    <w:rsid w:val="00264D1C"/>
    <w:rsid w:val="00266728"/>
    <w:rsid w:val="00272732"/>
    <w:rsid w:val="00272C02"/>
    <w:rsid w:val="00273A7C"/>
    <w:rsid w:val="00275AF4"/>
    <w:rsid w:val="00276BFB"/>
    <w:rsid w:val="00280967"/>
    <w:rsid w:val="002826A1"/>
    <w:rsid w:val="00284789"/>
    <w:rsid w:val="00285285"/>
    <w:rsid w:val="002900AF"/>
    <w:rsid w:val="0029071B"/>
    <w:rsid w:val="0029205A"/>
    <w:rsid w:val="002A2952"/>
    <w:rsid w:val="002A6980"/>
    <w:rsid w:val="002B3AA5"/>
    <w:rsid w:val="002C2D26"/>
    <w:rsid w:val="002C3D54"/>
    <w:rsid w:val="002C3F0A"/>
    <w:rsid w:val="002C5DE8"/>
    <w:rsid w:val="002C7902"/>
    <w:rsid w:val="002D2EF3"/>
    <w:rsid w:val="002D63F4"/>
    <w:rsid w:val="002D696E"/>
    <w:rsid w:val="002D7A56"/>
    <w:rsid w:val="002F0C3C"/>
    <w:rsid w:val="002F11EB"/>
    <w:rsid w:val="002F20F2"/>
    <w:rsid w:val="002F30E7"/>
    <w:rsid w:val="002F44A2"/>
    <w:rsid w:val="002F64D3"/>
    <w:rsid w:val="00306118"/>
    <w:rsid w:val="00307387"/>
    <w:rsid w:val="00307935"/>
    <w:rsid w:val="00307A5C"/>
    <w:rsid w:val="00310222"/>
    <w:rsid w:val="00310327"/>
    <w:rsid w:val="00311FA2"/>
    <w:rsid w:val="00313158"/>
    <w:rsid w:val="00314774"/>
    <w:rsid w:val="003177DA"/>
    <w:rsid w:val="003179DA"/>
    <w:rsid w:val="00317ED8"/>
    <w:rsid w:val="0032778D"/>
    <w:rsid w:val="003278B8"/>
    <w:rsid w:val="00327C8B"/>
    <w:rsid w:val="00330FDA"/>
    <w:rsid w:val="00336005"/>
    <w:rsid w:val="00336280"/>
    <w:rsid w:val="00340E85"/>
    <w:rsid w:val="003424EA"/>
    <w:rsid w:val="00342960"/>
    <w:rsid w:val="003471AC"/>
    <w:rsid w:val="00347B2E"/>
    <w:rsid w:val="00350E37"/>
    <w:rsid w:val="00353ADE"/>
    <w:rsid w:val="0035719B"/>
    <w:rsid w:val="0035728A"/>
    <w:rsid w:val="00361BA0"/>
    <w:rsid w:val="003642FC"/>
    <w:rsid w:val="00364588"/>
    <w:rsid w:val="00365F95"/>
    <w:rsid w:val="00367E78"/>
    <w:rsid w:val="003707B2"/>
    <w:rsid w:val="0037493C"/>
    <w:rsid w:val="003752A1"/>
    <w:rsid w:val="00377099"/>
    <w:rsid w:val="003776D2"/>
    <w:rsid w:val="003840C6"/>
    <w:rsid w:val="00385735"/>
    <w:rsid w:val="003857F5"/>
    <w:rsid w:val="00385914"/>
    <w:rsid w:val="00386500"/>
    <w:rsid w:val="003867CE"/>
    <w:rsid w:val="00390DC5"/>
    <w:rsid w:val="00392B0C"/>
    <w:rsid w:val="00394622"/>
    <w:rsid w:val="003964EC"/>
    <w:rsid w:val="003A293B"/>
    <w:rsid w:val="003A394D"/>
    <w:rsid w:val="003A79F3"/>
    <w:rsid w:val="003B1287"/>
    <w:rsid w:val="003B13F0"/>
    <w:rsid w:val="003B7687"/>
    <w:rsid w:val="003C16E2"/>
    <w:rsid w:val="003C4905"/>
    <w:rsid w:val="003D0667"/>
    <w:rsid w:val="003D115C"/>
    <w:rsid w:val="003D260A"/>
    <w:rsid w:val="003D2B7E"/>
    <w:rsid w:val="003D31A2"/>
    <w:rsid w:val="003D3601"/>
    <w:rsid w:val="003D5DC9"/>
    <w:rsid w:val="003D642B"/>
    <w:rsid w:val="003D7638"/>
    <w:rsid w:val="003E0F6E"/>
    <w:rsid w:val="003E238E"/>
    <w:rsid w:val="003E5B0B"/>
    <w:rsid w:val="003E6014"/>
    <w:rsid w:val="003F2FF1"/>
    <w:rsid w:val="003F4435"/>
    <w:rsid w:val="003F478C"/>
    <w:rsid w:val="003F536A"/>
    <w:rsid w:val="00401BE8"/>
    <w:rsid w:val="004028B7"/>
    <w:rsid w:val="00404F64"/>
    <w:rsid w:val="0041120A"/>
    <w:rsid w:val="00413522"/>
    <w:rsid w:val="00415404"/>
    <w:rsid w:val="00424D7A"/>
    <w:rsid w:val="00427137"/>
    <w:rsid w:val="00427A84"/>
    <w:rsid w:val="0043064E"/>
    <w:rsid w:val="00436559"/>
    <w:rsid w:val="004400F0"/>
    <w:rsid w:val="00443A00"/>
    <w:rsid w:val="0044702D"/>
    <w:rsid w:val="004504D7"/>
    <w:rsid w:val="0045144C"/>
    <w:rsid w:val="004558C4"/>
    <w:rsid w:val="00464A78"/>
    <w:rsid w:val="00466A4B"/>
    <w:rsid w:val="00467D39"/>
    <w:rsid w:val="0047096E"/>
    <w:rsid w:val="004711FD"/>
    <w:rsid w:val="00473385"/>
    <w:rsid w:val="00473917"/>
    <w:rsid w:val="0047579F"/>
    <w:rsid w:val="00477852"/>
    <w:rsid w:val="00485999"/>
    <w:rsid w:val="00486A50"/>
    <w:rsid w:val="00492117"/>
    <w:rsid w:val="004927C0"/>
    <w:rsid w:val="00495351"/>
    <w:rsid w:val="0049602C"/>
    <w:rsid w:val="00497703"/>
    <w:rsid w:val="004A0DC9"/>
    <w:rsid w:val="004A1313"/>
    <w:rsid w:val="004A2A84"/>
    <w:rsid w:val="004B04CC"/>
    <w:rsid w:val="004B36FC"/>
    <w:rsid w:val="004B4F21"/>
    <w:rsid w:val="004C3CA4"/>
    <w:rsid w:val="004C70EB"/>
    <w:rsid w:val="004D0C87"/>
    <w:rsid w:val="004D0E01"/>
    <w:rsid w:val="004D1EE4"/>
    <w:rsid w:val="004D4FCE"/>
    <w:rsid w:val="004D6206"/>
    <w:rsid w:val="004D7BFF"/>
    <w:rsid w:val="004F2757"/>
    <w:rsid w:val="004F4486"/>
    <w:rsid w:val="00500A32"/>
    <w:rsid w:val="00502D4D"/>
    <w:rsid w:val="0050439B"/>
    <w:rsid w:val="00514F81"/>
    <w:rsid w:val="00520389"/>
    <w:rsid w:val="00520408"/>
    <w:rsid w:val="00520B9F"/>
    <w:rsid w:val="005212D7"/>
    <w:rsid w:val="00521A29"/>
    <w:rsid w:val="00523DB6"/>
    <w:rsid w:val="00523E78"/>
    <w:rsid w:val="005248AC"/>
    <w:rsid w:val="00524920"/>
    <w:rsid w:val="005276EF"/>
    <w:rsid w:val="00533985"/>
    <w:rsid w:val="0053449C"/>
    <w:rsid w:val="00534D89"/>
    <w:rsid w:val="005357D9"/>
    <w:rsid w:val="00535D5F"/>
    <w:rsid w:val="00537391"/>
    <w:rsid w:val="00541167"/>
    <w:rsid w:val="0054188F"/>
    <w:rsid w:val="00541A36"/>
    <w:rsid w:val="0054726E"/>
    <w:rsid w:val="00550AAF"/>
    <w:rsid w:val="00552752"/>
    <w:rsid w:val="00552E59"/>
    <w:rsid w:val="0055650F"/>
    <w:rsid w:val="00557B73"/>
    <w:rsid w:val="005609BB"/>
    <w:rsid w:val="00561412"/>
    <w:rsid w:val="00564B57"/>
    <w:rsid w:val="00566A35"/>
    <w:rsid w:val="00566F07"/>
    <w:rsid w:val="00567038"/>
    <w:rsid w:val="00567D0E"/>
    <w:rsid w:val="005706AE"/>
    <w:rsid w:val="005724EE"/>
    <w:rsid w:val="00572F91"/>
    <w:rsid w:val="00574B62"/>
    <w:rsid w:val="00575D90"/>
    <w:rsid w:val="005774F2"/>
    <w:rsid w:val="00583297"/>
    <w:rsid w:val="0058375D"/>
    <w:rsid w:val="00585908"/>
    <w:rsid w:val="00586D6F"/>
    <w:rsid w:val="00586E0F"/>
    <w:rsid w:val="00586F9C"/>
    <w:rsid w:val="005910D4"/>
    <w:rsid w:val="005944D0"/>
    <w:rsid w:val="005947CD"/>
    <w:rsid w:val="00594DEE"/>
    <w:rsid w:val="00595027"/>
    <w:rsid w:val="00597E70"/>
    <w:rsid w:val="005A0318"/>
    <w:rsid w:val="005A43DB"/>
    <w:rsid w:val="005A5D91"/>
    <w:rsid w:val="005A7112"/>
    <w:rsid w:val="005B09A3"/>
    <w:rsid w:val="005B3875"/>
    <w:rsid w:val="005B4117"/>
    <w:rsid w:val="005B58FA"/>
    <w:rsid w:val="005B6082"/>
    <w:rsid w:val="005C0539"/>
    <w:rsid w:val="005C0B76"/>
    <w:rsid w:val="005C2DB3"/>
    <w:rsid w:val="005C6801"/>
    <w:rsid w:val="005D2AE8"/>
    <w:rsid w:val="005D6B68"/>
    <w:rsid w:val="005E112B"/>
    <w:rsid w:val="005E2696"/>
    <w:rsid w:val="005E2C69"/>
    <w:rsid w:val="005E45EB"/>
    <w:rsid w:val="005E6FEF"/>
    <w:rsid w:val="005E79C1"/>
    <w:rsid w:val="005F1510"/>
    <w:rsid w:val="005F15CA"/>
    <w:rsid w:val="005F2F3A"/>
    <w:rsid w:val="005F5899"/>
    <w:rsid w:val="005F5ADE"/>
    <w:rsid w:val="005F638F"/>
    <w:rsid w:val="005F79AA"/>
    <w:rsid w:val="00600096"/>
    <w:rsid w:val="00601721"/>
    <w:rsid w:val="00602F8E"/>
    <w:rsid w:val="00605F79"/>
    <w:rsid w:val="00606FE3"/>
    <w:rsid w:val="0060737D"/>
    <w:rsid w:val="006109C1"/>
    <w:rsid w:val="00611A82"/>
    <w:rsid w:val="006139D5"/>
    <w:rsid w:val="006143F0"/>
    <w:rsid w:val="00614445"/>
    <w:rsid w:val="00615081"/>
    <w:rsid w:val="0061773C"/>
    <w:rsid w:val="00622A31"/>
    <w:rsid w:val="00623760"/>
    <w:rsid w:val="006265D8"/>
    <w:rsid w:val="00630DC6"/>
    <w:rsid w:val="0063143F"/>
    <w:rsid w:val="0063187D"/>
    <w:rsid w:val="006328D8"/>
    <w:rsid w:val="00634502"/>
    <w:rsid w:val="00635DEA"/>
    <w:rsid w:val="006364E9"/>
    <w:rsid w:val="00636BCC"/>
    <w:rsid w:val="00637C8C"/>
    <w:rsid w:val="006415DC"/>
    <w:rsid w:val="00641A43"/>
    <w:rsid w:val="00645198"/>
    <w:rsid w:val="0064720E"/>
    <w:rsid w:val="0065099A"/>
    <w:rsid w:val="006527C9"/>
    <w:rsid w:val="006528FE"/>
    <w:rsid w:val="006534F3"/>
    <w:rsid w:val="0065425D"/>
    <w:rsid w:val="00656665"/>
    <w:rsid w:val="00656791"/>
    <w:rsid w:val="006578DA"/>
    <w:rsid w:val="00660CB1"/>
    <w:rsid w:val="0066248F"/>
    <w:rsid w:val="00665159"/>
    <w:rsid w:val="00671C28"/>
    <w:rsid w:val="0067477F"/>
    <w:rsid w:val="006766BC"/>
    <w:rsid w:val="00676A7A"/>
    <w:rsid w:val="00682068"/>
    <w:rsid w:val="00683F94"/>
    <w:rsid w:val="006844F3"/>
    <w:rsid w:val="00685369"/>
    <w:rsid w:val="006861D2"/>
    <w:rsid w:val="00686AC9"/>
    <w:rsid w:val="00692A08"/>
    <w:rsid w:val="00694DF2"/>
    <w:rsid w:val="0069733E"/>
    <w:rsid w:val="006A0CA5"/>
    <w:rsid w:val="006A0F34"/>
    <w:rsid w:val="006A3396"/>
    <w:rsid w:val="006A3584"/>
    <w:rsid w:val="006A3B36"/>
    <w:rsid w:val="006A59C3"/>
    <w:rsid w:val="006A5C71"/>
    <w:rsid w:val="006A75FC"/>
    <w:rsid w:val="006A7CE3"/>
    <w:rsid w:val="006B138C"/>
    <w:rsid w:val="006B43C9"/>
    <w:rsid w:val="006B72B0"/>
    <w:rsid w:val="006C1B32"/>
    <w:rsid w:val="006C2349"/>
    <w:rsid w:val="006C259F"/>
    <w:rsid w:val="006C5472"/>
    <w:rsid w:val="006C7BE4"/>
    <w:rsid w:val="006D26F9"/>
    <w:rsid w:val="006D2B80"/>
    <w:rsid w:val="006D4107"/>
    <w:rsid w:val="006D458E"/>
    <w:rsid w:val="006D465B"/>
    <w:rsid w:val="006D5A9D"/>
    <w:rsid w:val="006D5AA3"/>
    <w:rsid w:val="006D6748"/>
    <w:rsid w:val="006D6FE0"/>
    <w:rsid w:val="006D7446"/>
    <w:rsid w:val="006E2675"/>
    <w:rsid w:val="006E4DD8"/>
    <w:rsid w:val="006F1ABA"/>
    <w:rsid w:val="006F1CFE"/>
    <w:rsid w:val="006F3DED"/>
    <w:rsid w:val="006F46EC"/>
    <w:rsid w:val="006F48AF"/>
    <w:rsid w:val="006F5972"/>
    <w:rsid w:val="006F5FB7"/>
    <w:rsid w:val="00700F30"/>
    <w:rsid w:val="00702CC6"/>
    <w:rsid w:val="00704026"/>
    <w:rsid w:val="007053E0"/>
    <w:rsid w:val="00706684"/>
    <w:rsid w:val="0070687A"/>
    <w:rsid w:val="00710F7B"/>
    <w:rsid w:val="00711D0C"/>
    <w:rsid w:val="00713546"/>
    <w:rsid w:val="00716753"/>
    <w:rsid w:val="00716A39"/>
    <w:rsid w:val="007202DB"/>
    <w:rsid w:val="00726AE2"/>
    <w:rsid w:val="00726BC0"/>
    <w:rsid w:val="007310F3"/>
    <w:rsid w:val="007311DF"/>
    <w:rsid w:val="00732FA9"/>
    <w:rsid w:val="0073553B"/>
    <w:rsid w:val="00737362"/>
    <w:rsid w:val="00742DD4"/>
    <w:rsid w:val="00745636"/>
    <w:rsid w:val="00745FB2"/>
    <w:rsid w:val="00746F8E"/>
    <w:rsid w:val="00747039"/>
    <w:rsid w:val="00747B97"/>
    <w:rsid w:val="0075408B"/>
    <w:rsid w:val="00754EE6"/>
    <w:rsid w:val="00755C2E"/>
    <w:rsid w:val="0076070E"/>
    <w:rsid w:val="00760D75"/>
    <w:rsid w:val="00761D13"/>
    <w:rsid w:val="00762253"/>
    <w:rsid w:val="00762C49"/>
    <w:rsid w:val="007652D3"/>
    <w:rsid w:val="00765CE7"/>
    <w:rsid w:val="00767296"/>
    <w:rsid w:val="007706C9"/>
    <w:rsid w:val="00770818"/>
    <w:rsid w:val="0077198D"/>
    <w:rsid w:val="0077364D"/>
    <w:rsid w:val="007736E5"/>
    <w:rsid w:val="00775A5E"/>
    <w:rsid w:val="00775B0D"/>
    <w:rsid w:val="00776561"/>
    <w:rsid w:val="00782E2D"/>
    <w:rsid w:val="00782E47"/>
    <w:rsid w:val="007859A5"/>
    <w:rsid w:val="00786E9B"/>
    <w:rsid w:val="00791AB4"/>
    <w:rsid w:val="0079241D"/>
    <w:rsid w:val="00796CB4"/>
    <w:rsid w:val="00796E8D"/>
    <w:rsid w:val="007A2C06"/>
    <w:rsid w:val="007A36C0"/>
    <w:rsid w:val="007A3D06"/>
    <w:rsid w:val="007A4F52"/>
    <w:rsid w:val="007A7123"/>
    <w:rsid w:val="007A7151"/>
    <w:rsid w:val="007A7F90"/>
    <w:rsid w:val="007B0777"/>
    <w:rsid w:val="007B249A"/>
    <w:rsid w:val="007B28C9"/>
    <w:rsid w:val="007B35D5"/>
    <w:rsid w:val="007B39AF"/>
    <w:rsid w:val="007B6D03"/>
    <w:rsid w:val="007C0E9E"/>
    <w:rsid w:val="007C2A4F"/>
    <w:rsid w:val="007C3154"/>
    <w:rsid w:val="007C5392"/>
    <w:rsid w:val="007D1663"/>
    <w:rsid w:val="007D205E"/>
    <w:rsid w:val="007D2508"/>
    <w:rsid w:val="007D416F"/>
    <w:rsid w:val="007E1D4A"/>
    <w:rsid w:val="007F0B4C"/>
    <w:rsid w:val="007F1E25"/>
    <w:rsid w:val="007F209A"/>
    <w:rsid w:val="007F4C89"/>
    <w:rsid w:val="007F6548"/>
    <w:rsid w:val="007F6877"/>
    <w:rsid w:val="0080349A"/>
    <w:rsid w:val="0080612E"/>
    <w:rsid w:val="00807372"/>
    <w:rsid w:val="00812CAD"/>
    <w:rsid w:val="008141F4"/>
    <w:rsid w:val="00814CE2"/>
    <w:rsid w:val="008151C0"/>
    <w:rsid w:val="00815E33"/>
    <w:rsid w:val="008203FC"/>
    <w:rsid w:val="00820EA4"/>
    <w:rsid w:val="00822FBC"/>
    <w:rsid w:val="00825CAF"/>
    <w:rsid w:val="008266F4"/>
    <w:rsid w:val="008271C8"/>
    <w:rsid w:val="0083487D"/>
    <w:rsid w:val="00835B2C"/>
    <w:rsid w:val="0083662C"/>
    <w:rsid w:val="00837CC6"/>
    <w:rsid w:val="008409A7"/>
    <w:rsid w:val="00842A32"/>
    <w:rsid w:val="00843A1B"/>
    <w:rsid w:val="00844EC1"/>
    <w:rsid w:val="00845BFF"/>
    <w:rsid w:val="00852649"/>
    <w:rsid w:val="00852FBB"/>
    <w:rsid w:val="00854352"/>
    <w:rsid w:val="00855447"/>
    <w:rsid w:val="00855EE0"/>
    <w:rsid w:val="00864356"/>
    <w:rsid w:val="008727B7"/>
    <w:rsid w:val="0087494B"/>
    <w:rsid w:val="00881ED8"/>
    <w:rsid w:val="008902C8"/>
    <w:rsid w:val="00891C35"/>
    <w:rsid w:val="00891F88"/>
    <w:rsid w:val="00894396"/>
    <w:rsid w:val="00896346"/>
    <w:rsid w:val="0089748E"/>
    <w:rsid w:val="00897FDC"/>
    <w:rsid w:val="008A13E2"/>
    <w:rsid w:val="008A2CC8"/>
    <w:rsid w:val="008A45DB"/>
    <w:rsid w:val="008A57E5"/>
    <w:rsid w:val="008A7B7F"/>
    <w:rsid w:val="008B1FBD"/>
    <w:rsid w:val="008B499F"/>
    <w:rsid w:val="008B4CFB"/>
    <w:rsid w:val="008B58F0"/>
    <w:rsid w:val="008B7F16"/>
    <w:rsid w:val="008C0016"/>
    <w:rsid w:val="008C2EBD"/>
    <w:rsid w:val="008C50B1"/>
    <w:rsid w:val="008D02BC"/>
    <w:rsid w:val="008D325C"/>
    <w:rsid w:val="008D4A78"/>
    <w:rsid w:val="008D79BC"/>
    <w:rsid w:val="008E1072"/>
    <w:rsid w:val="008E2C73"/>
    <w:rsid w:val="008E6207"/>
    <w:rsid w:val="008F04AC"/>
    <w:rsid w:val="008F2740"/>
    <w:rsid w:val="008F7BE4"/>
    <w:rsid w:val="00904D9D"/>
    <w:rsid w:val="00906AFF"/>
    <w:rsid w:val="00910A5B"/>
    <w:rsid w:val="0091299D"/>
    <w:rsid w:val="00915422"/>
    <w:rsid w:val="0091610C"/>
    <w:rsid w:val="0092427D"/>
    <w:rsid w:val="009249CA"/>
    <w:rsid w:val="009254FB"/>
    <w:rsid w:val="009271FE"/>
    <w:rsid w:val="00930892"/>
    <w:rsid w:val="009415AE"/>
    <w:rsid w:val="00941936"/>
    <w:rsid w:val="009427C6"/>
    <w:rsid w:val="00943035"/>
    <w:rsid w:val="009469D4"/>
    <w:rsid w:val="00946D5C"/>
    <w:rsid w:val="009501CF"/>
    <w:rsid w:val="00950754"/>
    <w:rsid w:val="009532D1"/>
    <w:rsid w:val="0095368E"/>
    <w:rsid w:val="00954D53"/>
    <w:rsid w:val="0096043E"/>
    <w:rsid w:val="0096149A"/>
    <w:rsid w:val="00961577"/>
    <w:rsid w:val="00963107"/>
    <w:rsid w:val="009632F5"/>
    <w:rsid w:val="009649B3"/>
    <w:rsid w:val="00964EC3"/>
    <w:rsid w:val="00965802"/>
    <w:rsid w:val="009707DD"/>
    <w:rsid w:val="009735E4"/>
    <w:rsid w:val="009806D5"/>
    <w:rsid w:val="00983E86"/>
    <w:rsid w:val="00984E91"/>
    <w:rsid w:val="009879F4"/>
    <w:rsid w:val="0099230F"/>
    <w:rsid w:val="00993930"/>
    <w:rsid w:val="00995CD5"/>
    <w:rsid w:val="009A26DF"/>
    <w:rsid w:val="009A3811"/>
    <w:rsid w:val="009A6AA1"/>
    <w:rsid w:val="009B0B75"/>
    <w:rsid w:val="009B5C46"/>
    <w:rsid w:val="009B5D99"/>
    <w:rsid w:val="009B61EB"/>
    <w:rsid w:val="009C0ED7"/>
    <w:rsid w:val="009C35E6"/>
    <w:rsid w:val="009C45DF"/>
    <w:rsid w:val="009C754D"/>
    <w:rsid w:val="009D0ACB"/>
    <w:rsid w:val="009D3C05"/>
    <w:rsid w:val="009D6DC1"/>
    <w:rsid w:val="009D727D"/>
    <w:rsid w:val="009E1362"/>
    <w:rsid w:val="009E1D86"/>
    <w:rsid w:val="009F4FD0"/>
    <w:rsid w:val="00A011FD"/>
    <w:rsid w:val="00A0303B"/>
    <w:rsid w:val="00A038EF"/>
    <w:rsid w:val="00A06DE8"/>
    <w:rsid w:val="00A074FB"/>
    <w:rsid w:val="00A10114"/>
    <w:rsid w:val="00A10A28"/>
    <w:rsid w:val="00A11CCD"/>
    <w:rsid w:val="00A12964"/>
    <w:rsid w:val="00A1422D"/>
    <w:rsid w:val="00A17600"/>
    <w:rsid w:val="00A2315B"/>
    <w:rsid w:val="00A27CDB"/>
    <w:rsid w:val="00A27D95"/>
    <w:rsid w:val="00A3539F"/>
    <w:rsid w:val="00A36294"/>
    <w:rsid w:val="00A366CB"/>
    <w:rsid w:val="00A36EA6"/>
    <w:rsid w:val="00A371DB"/>
    <w:rsid w:val="00A37630"/>
    <w:rsid w:val="00A4053F"/>
    <w:rsid w:val="00A414A8"/>
    <w:rsid w:val="00A417DC"/>
    <w:rsid w:val="00A43CAE"/>
    <w:rsid w:val="00A4656C"/>
    <w:rsid w:val="00A51012"/>
    <w:rsid w:val="00A54849"/>
    <w:rsid w:val="00A5659C"/>
    <w:rsid w:val="00A56FD9"/>
    <w:rsid w:val="00A573AF"/>
    <w:rsid w:val="00A60076"/>
    <w:rsid w:val="00A64DB4"/>
    <w:rsid w:val="00A64DF7"/>
    <w:rsid w:val="00A71068"/>
    <w:rsid w:val="00A73D19"/>
    <w:rsid w:val="00A75DF8"/>
    <w:rsid w:val="00A81D9B"/>
    <w:rsid w:val="00A84877"/>
    <w:rsid w:val="00A848E6"/>
    <w:rsid w:val="00A8557C"/>
    <w:rsid w:val="00A861E9"/>
    <w:rsid w:val="00A86822"/>
    <w:rsid w:val="00A941BA"/>
    <w:rsid w:val="00A9620C"/>
    <w:rsid w:val="00AA4D2E"/>
    <w:rsid w:val="00AA5841"/>
    <w:rsid w:val="00AB163A"/>
    <w:rsid w:val="00AB651A"/>
    <w:rsid w:val="00AB6792"/>
    <w:rsid w:val="00AC02E9"/>
    <w:rsid w:val="00AC07AD"/>
    <w:rsid w:val="00AC1F6B"/>
    <w:rsid w:val="00AC2D87"/>
    <w:rsid w:val="00AC2EBC"/>
    <w:rsid w:val="00AC4CF2"/>
    <w:rsid w:val="00AC5AF0"/>
    <w:rsid w:val="00AC7929"/>
    <w:rsid w:val="00AD1D6C"/>
    <w:rsid w:val="00AD2887"/>
    <w:rsid w:val="00AD4B99"/>
    <w:rsid w:val="00AD4F35"/>
    <w:rsid w:val="00AD5CB4"/>
    <w:rsid w:val="00AD65A8"/>
    <w:rsid w:val="00AE153D"/>
    <w:rsid w:val="00AE1E72"/>
    <w:rsid w:val="00AE51F5"/>
    <w:rsid w:val="00AE7E03"/>
    <w:rsid w:val="00AF112E"/>
    <w:rsid w:val="00AF2151"/>
    <w:rsid w:val="00AF64B2"/>
    <w:rsid w:val="00AF64FB"/>
    <w:rsid w:val="00AF6FF6"/>
    <w:rsid w:val="00AF7619"/>
    <w:rsid w:val="00B011C8"/>
    <w:rsid w:val="00B026EB"/>
    <w:rsid w:val="00B052E9"/>
    <w:rsid w:val="00B0566A"/>
    <w:rsid w:val="00B07360"/>
    <w:rsid w:val="00B112F3"/>
    <w:rsid w:val="00B12CD3"/>
    <w:rsid w:val="00B13734"/>
    <w:rsid w:val="00B15ED6"/>
    <w:rsid w:val="00B16675"/>
    <w:rsid w:val="00B17598"/>
    <w:rsid w:val="00B20C8F"/>
    <w:rsid w:val="00B211A0"/>
    <w:rsid w:val="00B228BD"/>
    <w:rsid w:val="00B22C9A"/>
    <w:rsid w:val="00B24573"/>
    <w:rsid w:val="00B27404"/>
    <w:rsid w:val="00B329D6"/>
    <w:rsid w:val="00B355FB"/>
    <w:rsid w:val="00B379A9"/>
    <w:rsid w:val="00B41FFE"/>
    <w:rsid w:val="00B4693E"/>
    <w:rsid w:val="00B54C31"/>
    <w:rsid w:val="00B55899"/>
    <w:rsid w:val="00B55E1F"/>
    <w:rsid w:val="00B60EC5"/>
    <w:rsid w:val="00B616C8"/>
    <w:rsid w:val="00B62092"/>
    <w:rsid w:val="00B622A5"/>
    <w:rsid w:val="00B626CD"/>
    <w:rsid w:val="00B63DF5"/>
    <w:rsid w:val="00B65382"/>
    <w:rsid w:val="00B66513"/>
    <w:rsid w:val="00B704F9"/>
    <w:rsid w:val="00B70AC5"/>
    <w:rsid w:val="00B73803"/>
    <w:rsid w:val="00B75678"/>
    <w:rsid w:val="00B77D35"/>
    <w:rsid w:val="00B8003D"/>
    <w:rsid w:val="00B80ACE"/>
    <w:rsid w:val="00B8142A"/>
    <w:rsid w:val="00B84276"/>
    <w:rsid w:val="00B94BAD"/>
    <w:rsid w:val="00B95B1D"/>
    <w:rsid w:val="00B96F0D"/>
    <w:rsid w:val="00B97E3C"/>
    <w:rsid w:val="00BA005E"/>
    <w:rsid w:val="00BA0B0D"/>
    <w:rsid w:val="00BA6344"/>
    <w:rsid w:val="00BA7EE3"/>
    <w:rsid w:val="00BB2C32"/>
    <w:rsid w:val="00BB2E30"/>
    <w:rsid w:val="00BB3203"/>
    <w:rsid w:val="00BB7FA6"/>
    <w:rsid w:val="00BC20B0"/>
    <w:rsid w:val="00BC261B"/>
    <w:rsid w:val="00BC5EA5"/>
    <w:rsid w:val="00BC721F"/>
    <w:rsid w:val="00BC7803"/>
    <w:rsid w:val="00BD203B"/>
    <w:rsid w:val="00BD2312"/>
    <w:rsid w:val="00BD4C8D"/>
    <w:rsid w:val="00BE0DD2"/>
    <w:rsid w:val="00BE1505"/>
    <w:rsid w:val="00BE1EDF"/>
    <w:rsid w:val="00BE42E4"/>
    <w:rsid w:val="00BE522D"/>
    <w:rsid w:val="00BE666F"/>
    <w:rsid w:val="00BF03D9"/>
    <w:rsid w:val="00BF1CE7"/>
    <w:rsid w:val="00BF30F5"/>
    <w:rsid w:val="00BF382A"/>
    <w:rsid w:val="00BF4C37"/>
    <w:rsid w:val="00BF6E03"/>
    <w:rsid w:val="00BF7C69"/>
    <w:rsid w:val="00C052A4"/>
    <w:rsid w:val="00C05AD3"/>
    <w:rsid w:val="00C064BB"/>
    <w:rsid w:val="00C07188"/>
    <w:rsid w:val="00C079EA"/>
    <w:rsid w:val="00C16612"/>
    <w:rsid w:val="00C2491A"/>
    <w:rsid w:val="00C32917"/>
    <w:rsid w:val="00C3309C"/>
    <w:rsid w:val="00C3425E"/>
    <w:rsid w:val="00C35739"/>
    <w:rsid w:val="00C42785"/>
    <w:rsid w:val="00C445DA"/>
    <w:rsid w:val="00C50105"/>
    <w:rsid w:val="00C572BA"/>
    <w:rsid w:val="00C60311"/>
    <w:rsid w:val="00C6329B"/>
    <w:rsid w:val="00C65E17"/>
    <w:rsid w:val="00C66956"/>
    <w:rsid w:val="00C707DC"/>
    <w:rsid w:val="00C73DFC"/>
    <w:rsid w:val="00C759FB"/>
    <w:rsid w:val="00C76E42"/>
    <w:rsid w:val="00C7779F"/>
    <w:rsid w:val="00C77BAB"/>
    <w:rsid w:val="00C84794"/>
    <w:rsid w:val="00C8629E"/>
    <w:rsid w:val="00C90427"/>
    <w:rsid w:val="00C91783"/>
    <w:rsid w:val="00C9225A"/>
    <w:rsid w:val="00C92306"/>
    <w:rsid w:val="00C9324B"/>
    <w:rsid w:val="00C93391"/>
    <w:rsid w:val="00C93C08"/>
    <w:rsid w:val="00C94713"/>
    <w:rsid w:val="00C95869"/>
    <w:rsid w:val="00CA0315"/>
    <w:rsid w:val="00CA0C8D"/>
    <w:rsid w:val="00CA3A18"/>
    <w:rsid w:val="00CA3F05"/>
    <w:rsid w:val="00CA4E15"/>
    <w:rsid w:val="00CA61E8"/>
    <w:rsid w:val="00CB0657"/>
    <w:rsid w:val="00CB0956"/>
    <w:rsid w:val="00CB17D0"/>
    <w:rsid w:val="00CB414E"/>
    <w:rsid w:val="00CB5C9E"/>
    <w:rsid w:val="00CC02E7"/>
    <w:rsid w:val="00CC25C2"/>
    <w:rsid w:val="00CC3A7F"/>
    <w:rsid w:val="00CC509D"/>
    <w:rsid w:val="00CC57F2"/>
    <w:rsid w:val="00CD0F3C"/>
    <w:rsid w:val="00CD1589"/>
    <w:rsid w:val="00CD1B20"/>
    <w:rsid w:val="00CD363B"/>
    <w:rsid w:val="00CD38E5"/>
    <w:rsid w:val="00CD67D9"/>
    <w:rsid w:val="00CE07CB"/>
    <w:rsid w:val="00CE19D5"/>
    <w:rsid w:val="00CE395A"/>
    <w:rsid w:val="00CF004B"/>
    <w:rsid w:val="00CF227E"/>
    <w:rsid w:val="00CF3550"/>
    <w:rsid w:val="00D03498"/>
    <w:rsid w:val="00D07568"/>
    <w:rsid w:val="00D11076"/>
    <w:rsid w:val="00D12809"/>
    <w:rsid w:val="00D1295C"/>
    <w:rsid w:val="00D171E2"/>
    <w:rsid w:val="00D21E33"/>
    <w:rsid w:val="00D226F2"/>
    <w:rsid w:val="00D259B4"/>
    <w:rsid w:val="00D25BB4"/>
    <w:rsid w:val="00D27213"/>
    <w:rsid w:val="00D27275"/>
    <w:rsid w:val="00D307BE"/>
    <w:rsid w:val="00D36C52"/>
    <w:rsid w:val="00D3762B"/>
    <w:rsid w:val="00D42047"/>
    <w:rsid w:val="00D434F6"/>
    <w:rsid w:val="00D437A1"/>
    <w:rsid w:val="00D43D54"/>
    <w:rsid w:val="00D47561"/>
    <w:rsid w:val="00D531EC"/>
    <w:rsid w:val="00D53BE1"/>
    <w:rsid w:val="00D6250C"/>
    <w:rsid w:val="00D625BE"/>
    <w:rsid w:val="00D633C3"/>
    <w:rsid w:val="00D63D09"/>
    <w:rsid w:val="00D6654F"/>
    <w:rsid w:val="00D73D2E"/>
    <w:rsid w:val="00D761B8"/>
    <w:rsid w:val="00D77308"/>
    <w:rsid w:val="00D80743"/>
    <w:rsid w:val="00D876C7"/>
    <w:rsid w:val="00D87D11"/>
    <w:rsid w:val="00D90C3E"/>
    <w:rsid w:val="00D92025"/>
    <w:rsid w:val="00D97642"/>
    <w:rsid w:val="00DA2860"/>
    <w:rsid w:val="00DA3C51"/>
    <w:rsid w:val="00DA7388"/>
    <w:rsid w:val="00DB01DA"/>
    <w:rsid w:val="00DB1B8C"/>
    <w:rsid w:val="00DB312A"/>
    <w:rsid w:val="00DB4319"/>
    <w:rsid w:val="00DB4AFA"/>
    <w:rsid w:val="00DB54CA"/>
    <w:rsid w:val="00DC3DF8"/>
    <w:rsid w:val="00DC4285"/>
    <w:rsid w:val="00DC7A1C"/>
    <w:rsid w:val="00DD1F4E"/>
    <w:rsid w:val="00DD24C9"/>
    <w:rsid w:val="00DD6312"/>
    <w:rsid w:val="00DD6FFA"/>
    <w:rsid w:val="00DD7945"/>
    <w:rsid w:val="00DE007D"/>
    <w:rsid w:val="00DE1495"/>
    <w:rsid w:val="00DE6450"/>
    <w:rsid w:val="00DE7308"/>
    <w:rsid w:val="00DF5482"/>
    <w:rsid w:val="00DF5D7C"/>
    <w:rsid w:val="00DF5D7E"/>
    <w:rsid w:val="00E0378C"/>
    <w:rsid w:val="00E05B0C"/>
    <w:rsid w:val="00E05DCA"/>
    <w:rsid w:val="00E06C7A"/>
    <w:rsid w:val="00E07197"/>
    <w:rsid w:val="00E13528"/>
    <w:rsid w:val="00E13A1E"/>
    <w:rsid w:val="00E202B1"/>
    <w:rsid w:val="00E20F91"/>
    <w:rsid w:val="00E2191C"/>
    <w:rsid w:val="00E2417D"/>
    <w:rsid w:val="00E25BCF"/>
    <w:rsid w:val="00E309D7"/>
    <w:rsid w:val="00E32532"/>
    <w:rsid w:val="00E32813"/>
    <w:rsid w:val="00E33E68"/>
    <w:rsid w:val="00E34DA9"/>
    <w:rsid w:val="00E35635"/>
    <w:rsid w:val="00E40469"/>
    <w:rsid w:val="00E420CF"/>
    <w:rsid w:val="00E4481D"/>
    <w:rsid w:val="00E449C8"/>
    <w:rsid w:val="00E5660A"/>
    <w:rsid w:val="00E5794C"/>
    <w:rsid w:val="00E613CE"/>
    <w:rsid w:val="00E61AB6"/>
    <w:rsid w:val="00E626BE"/>
    <w:rsid w:val="00E630B1"/>
    <w:rsid w:val="00E639D0"/>
    <w:rsid w:val="00E66EED"/>
    <w:rsid w:val="00E72F72"/>
    <w:rsid w:val="00E742E4"/>
    <w:rsid w:val="00E74E4F"/>
    <w:rsid w:val="00E750D2"/>
    <w:rsid w:val="00E813D4"/>
    <w:rsid w:val="00E82512"/>
    <w:rsid w:val="00E8753B"/>
    <w:rsid w:val="00E92090"/>
    <w:rsid w:val="00EA54AD"/>
    <w:rsid w:val="00EA5F3D"/>
    <w:rsid w:val="00EB107A"/>
    <w:rsid w:val="00EB19B3"/>
    <w:rsid w:val="00EB1A4F"/>
    <w:rsid w:val="00EB22BA"/>
    <w:rsid w:val="00EC4DA8"/>
    <w:rsid w:val="00EC673F"/>
    <w:rsid w:val="00EC7E0A"/>
    <w:rsid w:val="00ED1398"/>
    <w:rsid w:val="00ED386B"/>
    <w:rsid w:val="00ED4F5C"/>
    <w:rsid w:val="00EE1E03"/>
    <w:rsid w:val="00EE1FC7"/>
    <w:rsid w:val="00EE6544"/>
    <w:rsid w:val="00EF1249"/>
    <w:rsid w:val="00EF67EC"/>
    <w:rsid w:val="00EF7521"/>
    <w:rsid w:val="00F017E7"/>
    <w:rsid w:val="00F01862"/>
    <w:rsid w:val="00F023DA"/>
    <w:rsid w:val="00F045EE"/>
    <w:rsid w:val="00F04C58"/>
    <w:rsid w:val="00F05648"/>
    <w:rsid w:val="00F115BB"/>
    <w:rsid w:val="00F11B4A"/>
    <w:rsid w:val="00F12772"/>
    <w:rsid w:val="00F13860"/>
    <w:rsid w:val="00F2000E"/>
    <w:rsid w:val="00F21A84"/>
    <w:rsid w:val="00F261F5"/>
    <w:rsid w:val="00F26466"/>
    <w:rsid w:val="00F26E4C"/>
    <w:rsid w:val="00F27F69"/>
    <w:rsid w:val="00F308F4"/>
    <w:rsid w:val="00F31530"/>
    <w:rsid w:val="00F36ABC"/>
    <w:rsid w:val="00F40654"/>
    <w:rsid w:val="00F448D9"/>
    <w:rsid w:val="00F52C9D"/>
    <w:rsid w:val="00F550EA"/>
    <w:rsid w:val="00F56038"/>
    <w:rsid w:val="00F61203"/>
    <w:rsid w:val="00F626CF"/>
    <w:rsid w:val="00F62AED"/>
    <w:rsid w:val="00F65DC8"/>
    <w:rsid w:val="00F668C0"/>
    <w:rsid w:val="00F81A08"/>
    <w:rsid w:val="00F81D05"/>
    <w:rsid w:val="00F831A9"/>
    <w:rsid w:val="00F83DED"/>
    <w:rsid w:val="00F83ED0"/>
    <w:rsid w:val="00F84C8D"/>
    <w:rsid w:val="00F869A9"/>
    <w:rsid w:val="00F87193"/>
    <w:rsid w:val="00F90CF0"/>
    <w:rsid w:val="00F946C8"/>
    <w:rsid w:val="00FA1754"/>
    <w:rsid w:val="00FA471B"/>
    <w:rsid w:val="00FA4A0B"/>
    <w:rsid w:val="00FA6CCF"/>
    <w:rsid w:val="00FA76E4"/>
    <w:rsid w:val="00FA7721"/>
    <w:rsid w:val="00FB0236"/>
    <w:rsid w:val="00FC4500"/>
    <w:rsid w:val="00FD3835"/>
    <w:rsid w:val="00FD507C"/>
    <w:rsid w:val="00FE004D"/>
    <w:rsid w:val="00FE1D31"/>
    <w:rsid w:val="00FE2B42"/>
    <w:rsid w:val="00FE75D2"/>
    <w:rsid w:val="00FF247E"/>
    <w:rsid w:val="00FF3BC1"/>
    <w:rsid w:val="00FF3BCE"/>
    <w:rsid w:val="00FF3DE7"/>
    <w:rsid w:val="00FF4723"/>
    <w:rsid w:val="00FF50B6"/>
    <w:rsid w:val="01E45FB4"/>
    <w:rsid w:val="035C2359"/>
    <w:rsid w:val="0FDE35E1"/>
    <w:rsid w:val="179D6A9D"/>
    <w:rsid w:val="21F73F85"/>
    <w:rsid w:val="27C0065E"/>
    <w:rsid w:val="28D95DC5"/>
    <w:rsid w:val="2F035131"/>
    <w:rsid w:val="37E40AAC"/>
    <w:rsid w:val="38CE1B9D"/>
    <w:rsid w:val="452212C7"/>
    <w:rsid w:val="48F76C60"/>
    <w:rsid w:val="49D9268D"/>
    <w:rsid w:val="4CAC232A"/>
    <w:rsid w:val="5245685B"/>
    <w:rsid w:val="53CE441E"/>
    <w:rsid w:val="53E368CC"/>
    <w:rsid w:val="54C36F1D"/>
    <w:rsid w:val="585C63E9"/>
    <w:rsid w:val="5B4158FD"/>
    <w:rsid w:val="5D467216"/>
    <w:rsid w:val="5DFB1BA3"/>
    <w:rsid w:val="5E9B3C27"/>
    <w:rsid w:val="604C2E56"/>
    <w:rsid w:val="7FA934A4"/>
  </w:rsids>
  <m:mathPr>
    <m:mathFont m:val="Cambria Math"/>
    <m:brkBin m:val="before"/>
    <m:brkBinSub m:val="--"/>
    <m:smallFrac m:val="0"/>
    <m:dispDef/>
    <m:lMargin m:val="0"/>
    <m:rMargin m:val="0"/>
    <m:defJc m:val="centerGroup"/>
    <m:wrapIndent m:val="1440"/>
    <m:intLim m:val="subSup"/>
    <m:naryLim m:val="undOvr"/>
  </m:mathPr>
  <w:themeFontLang w:val="bs-Latn-B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1861"/>
  <w15:docId w15:val="{4E3064E7-971D-418A-934B-6A188A8C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30" w:hanging="10"/>
      <w:jc w:val="both"/>
    </w:pPr>
    <w:rPr>
      <w:rFonts w:ascii="Times New Roman" w:eastAsia="Times New Roman" w:hAnsi="Times New Roman" w:cs="Times New Roman"/>
      <w:noProof/>
      <w:color w:val="000000"/>
      <w:sz w:val="24"/>
      <w:szCs w:val="22"/>
    </w:rPr>
  </w:style>
  <w:style w:type="paragraph" w:styleId="Heading1">
    <w:name w:val="heading 1"/>
    <w:next w:val="Normal"/>
    <w:link w:val="Heading1Char"/>
    <w:uiPriority w:val="9"/>
    <w:unhideWhenUsed/>
    <w:qFormat/>
    <w:pPr>
      <w:keepNext/>
      <w:keepLines/>
      <w:spacing w:after="135" w:line="254" w:lineRule="auto"/>
      <w:ind w:left="22" w:hanging="10"/>
      <w:outlineLvl w:val="0"/>
    </w:pPr>
    <w:rPr>
      <w:rFonts w:ascii="Times New Roman" w:eastAsia="Times New Roman" w:hAnsi="Times New Roman" w:cs="Times New Roman"/>
      <w:b/>
      <w:color w:val="181717"/>
      <w:sz w:val="36"/>
      <w:szCs w:val="22"/>
    </w:rPr>
  </w:style>
  <w:style w:type="paragraph" w:styleId="Heading2">
    <w:name w:val="heading 2"/>
    <w:basedOn w:val="Normal"/>
    <w:next w:val="Normal"/>
    <w:link w:val="Heading2Char"/>
    <w:qFormat/>
    <w:pPr>
      <w:keepNext/>
      <w:spacing w:before="240" w:after="60" w:line="240" w:lineRule="auto"/>
      <w:ind w:left="0" w:right="0" w:firstLine="0"/>
      <w:jc w:val="left"/>
      <w:outlineLvl w:val="1"/>
    </w:pPr>
    <w:rPr>
      <w:rFonts w:ascii="Arial" w:hAnsi="Arial" w:cs="Arial"/>
      <w:b/>
      <w:bCs/>
      <w:i/>
      <w:iCs/>
      <w:color w:val="auto"/>
      <w:sz w:val="28"/>
      <w:szCs w:val="28"/>
      <w:lang w:val="hr-HR" w:eastAsia="hr-HR"/>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E79"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FootnoteText">
    <w:name w:val="footnote text"/>
    <w:basedOn w:val="Normal"/>
    <w:link w:val="FootnoteTextChar"/>
    <w:uiPriority w:val="99"/>
    <w:semiHidden/>
    <w:pPr>
      <w:spacing w:after="0" w:line="240" w:lineRule="auto"/>
      <w:ind w:left="0" w:right="0" w:firstLine="0"/>
      <w:jc w:val="left"/>
    </w:pPr>
    <w:rPr>
      <w:color w:val="auto"/>
      <w:sz w:val="20"/>
      <w:szCs w:val="20"/>
      <w:lang w:val="hr-HR" w:eastAsia="hr-HR"/>
    </w:rPr>
  </w:style>
  <w:style w:type="paragraph" w:styleId="Header">
    <w:name w:val="header"/>
    <w:basedOn w:val="Normal"/>
    <w:link w:val="HeaderChar"/>
    <w:uiPriority w:val="99"/>
    <w:unhideWhenUsed/>
    <w:pPr>
      <w:tabs>
        <w:tab w:val="center" w:pos="4536"/>
        <w:tab w:val="right" w:pos="9072"/>
      </w:tabs>
      <w:spacing w:after="0" w:line="240" w:lineRule="auto"/>
    </w:pPr>
  </w:style>
  <w:style w:type="paragraph" w:styleId="TOC1">
    <w:name w:val="toc 1"/>
    <w:basedOn w:val="Normal"/>
    <w:next w:val="Normal"/>
    <w:uiPriority w:val="39"/>
    <w:unhideWhenUsed/>
    <w:pPr>
      <w:spacing w:after="100"/>
      <w:ind w:left="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ind w:left="480"/>
    </w:p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uiPriority w:val="99"/>
    <w:semiHidden/>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Times New Roman" w:eastAsia="Times New Roman" w:hAnsi="Times New Roman" w:cs="Times New Roman"/>
      <w:b/>
      <w:color w:val="181717"/>
      <w:sz w:val="36"/>
      <w:lang w:eastAsia="bs-Latn-BA"/>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hr-HR" w:eastAsia="hr-HR"/>
    </w:rPr>
  </w:style>
  <w:style w:type="character" w:customStyle="1" w:styleId="Heading2Char">
    <w:name w:val="Heading 2 Char"/>
    <w:basedOn w:val="DefaultParagraphFont"/>
    <w:link w:val="Heading2"/>
    <w:rPr>
      <w:rFonts w:ascii="Arial" w:eastAsia="Times New Roman" w:hAnsi="Arial" w:cs="Arial"/>
      <w:b/>
      <w:bCs/>
      <w:i/>
      <w:iCs/>
      <w:sz w:val="28"/>
      <w:szCs w:val="28"/>
      <w:lang w:val="hr-HR" w:eastAsia="hr-HR"/>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sz w:val="18"/>
      <w:szCs w:val="18"/>
      <w:lang w:eastAsia="bs-Latn-BA"/>
    </w:rPr>
  </w:style>
  <w:style w:type="paragraph" w:styleId="NoSpacing">
    <w:name w:val="No Spacing"/>
    <w:uiPriority w:val="1"/>
    <w:qFormat/>
    <w:pPr>
      <w:spacing w:after="0" w:line="240" w:lineRule="auto"/>
    </w:pPr>
    <w:rPr>
      <w:sz w:val="22"/>
      <w:szCs w:val="22"/>
      <w:lang w:val="sr-Cyrl-RS" w:eastAsia="en-U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E79" w:themeColor="accent1" w:themeShade="80"/>
      <w:sz w:val="24"/>
      <w:szCs w:val="24"/>
      <w:lang w:eastAsia="bs-Latn-BA"/>
    </w:rPr>
  </w:style>
  <w:style w:type="paragraph" w:customStyle="1" w:styleId="TOCHeading1">
    <w:name w:val="TOC Heading1"/>
    <w:basedOn w:val="Heading1"/>
    <w:next w:val="Normal"/>
    <w:uiPriority w:val="39"/>
    <w:unhideWhenUsed/>
    <w:qFormat/>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HeaderChar">
    <w:name w:val="Header Char"/>
    <w:basedOn w:val="DefaultParagraphFont"/>
    <w:link w:val="Header"/>
    <w:uiPriority w:val="99"/>
    <w:rPr>
      <w:rFonts w:ascii="Times New Roman" w:eastAsia="Times New Roman" w:hAnsi="Times New Roman" w:cs="Times New Roman"/>
      <w:color w:val="000000"/>
      <w:sz w:val="24"/>
      <w:lang w:eastAsia="bs-Latn-BA"/>
    </w:rPr>
  </w:style>
  <w:style w:type="character" w:customStyle="1" w:styleId="FooterChar">
    <w:name w:val="Footer Char"/>
    <w:basedOn w:val="DefaultParagraphFont"/>
    <w:link w:val="Footer"/>
    <w:uiPriority w:val="99"/>
    <w:rPr>
      <w:rFonts w:ascii="Times New Roman" w:eastAsia="Times New Roman" w:hAnsi="Times New Roman" w:cs="Times New Roman"/>
      <w:color w:val="000000"/>
      <w:sz w:val="24"/>
      <w:lang w:eastAsia="bs-Latn-BA"/>
    </w:rPr>
  </w:style>
  <w:style w:type="character" w:customStyle="1" w:styleId="CommentTextChar">
    <w:name w:val="Comment Text Char"/>
    <w:basedOn w:val="DefaultParagraphFont"/>
    <w:link w:val="CommentText"/>
    <w:uiPriority w:val="99"/>
    <w:rPr>
      <w:rFonts w:ascii="Times New Roman" w:eastAsia="Times New Roman" w:hAnsi="Times New Roman" w:cs="Times New Roman"/>
      <w:color w:val="000000"/>
      <w:sz w:val="20"/>
      <w:szCs w:val="20"/>
      <w:lang w:eastAsia="bs-Latn-BA"/>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color w:val="000000"/>
      <w:sz w:val="20"/>
      <w:szCs w:val="20"/>
      <w:lang w:eastAsia="bs-Latn-BA"/>
    </w:rPr>
  </w:style>
  <w:style w:type="paragraph" w:customStyle="1" w:styleId="Revision1">
    <w:name w:val="Revision1"/>
    <w:hidden/>
    <w:uiPriority w:val="99"/>
    <w:semiHidden/>
    <w:pPr>
      <w:spacing w:after="0" w:line="240" w:lineRule="auto"/>
    </w:pPr>
    <w:rPr>
      <w:rFonts w:ascii="Times New Roman" w:eastAsia="Times New Roman" w:hAnsi="Times New Roman" w:cs="Times New Roman"/>
      <w:color w:val="000000"/>
      <w:sz w:val="24"/>
      <w:szCs w:val="22"/>
    </w:rPr>
  </w:style>
  <w:style w:type="paragraph" w:customStyle="1" w:styleId="Default">
    <w:name w:val="Default"/>
    <w:rsid w:val="00B622A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link w:val="Bodytext1"/>
    <w:locked/>
    <w:rsid w:val="00993930"/>
    <w:rPr>
      <w:sz w:val="23"/>
      <w:szCs w:val="23"/>
      <w:shd w:val="clear" w:color="auto" w:fill="FFFFFF"/>
    </w:rPr>
  </w:style>
  <w:style w:type="paragraph" w:customStyle="1" w:styleId="Bodytext1">
    <w:name w:val="Body text1"/>
    <w:basedOn w:val="Normal"/>
    <w:link w:val="Bodytext"/>
    <w:rsid w:val="00993930"/>
    <w:pPr>
      <w:widowControl w:val="0"/>
      <w:shd w:val="clear" w:color="auto" w:fill="FFFFFF"/>
      <w:spacing w:after="0" w:line="557" w:lineRule="exact"/>
      <w:ind w:left="0" w:right="0" w:hanging="2060"/>
      <w:jc w:val="left"/>
    </w:pPr>
    <w:rPr>
      <w:rFonts w:asciiTheme="minorHAnsi" w:eastAsiaTheme="minorHAnsi" w:hAnsiTheme="minorHAnsi" w:cstheme="minorBidi"/>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50289">
      <w:bodyDiv w:val="1"/>
      <w:marLeft w:val="0"/>
      <w:marRight w:val="0"/>
      <w:marTop w:val="0"/>
      <w:marBottom w:val="0"/>
      <w:divBdr>
        <w:top w:val="none" w:sz="0" w:space="0" w:color="auto"/>
        <w:left w:val="none" w:sz="0" w:space="0" w:color="auto"/>
        <w:bottom w:val="none" w:sz="0" w:space="0" w:color="auto"/>
        <w:right w:val="none" w:sz="0" w:space="0" w:color="auto"/>
      </w:divBdr>
    </w:div>
    <w:div w:id="249042502">
      <w:bodyDiv w:val="1"/>
      <w:marLeft w:val="0"/>
      <w:marRight w:val="0"/>
      <w:marTop w:val="0"/>
      <w:marBottom w:val="0"/>
      <w:divBdr>
        <w:top w:val="none" w:sz="0" w:space="0" w:color="auto"/>
        <w:left w:val="none" w:sz="0" w:space="0" w:color="auto"/>
        <w:bottom w:val="none" w:sz="0" w:space="0" w:color="auto"/>
        <w:right w:val="none" w:sz="0" w:space="0" w:color="auto"/>
      </w:divBdr>
    </w:div>
    <w:div w:id="427965439">
      <w:bodyDiv w:val="1"/>
      <w:marLeft w:val="0"/>
      <w:marRight w:val="0"/>
      <w:marTop w:val="0"/>
      <w:marBottom w:val="0"/>
      <w:divBdr>
        <w:top w:val="none" w:sz="0" w:space="0" w:color="auto"/>
        <w:left w:val="none" w:sz="0" w:space="0" w:color="auto"/>
        <w:bottom w:val="none" w:sz="0" w:space="0" w:color="auto"/>
        <w:right w:val="none" w:sz="0" w:space="0" w:color="auto"/>
      </w:divBdr>
    </w:div>
    <w:div w:id="576011643">
      <w:bodyDiv w:val="1"/>
      <w:marLeft w:val="0"/>
      <w:marRight w:val="0"/>
      <w:marTop w:val="0"/>
      <w:marBottom w:val="0"/>
      <w:divBdr>
        <w:top w:val="none" w:sz="0" w:space="0" w:color="auto"/>
        <w:left w:val="none" w:sz="0" w:space="0" w:color="auto"/>
        <w:bottom w:val="none" w:sz="0" w:space="0" w:color="auto"/>
        <w:right w:val="none" w:sz="0" w:space="0" w:color="auto"/>
      </w:divBdr>
    </w:div>
    <w:div w:id="620378741">
      <w:bodyDiv w:val="1"/>
      <w:marLeft w:val="0"/>
      <w:marRight w:val="0"/>
      <w:marTop w:val="0"/>
      <w:marBottom w:val="0"/>
      <w:divBdr>
        <w:top w:val="none" w:sz="0" w:space="0" w:color="auto"/>
        <w:left w:val="none" w:sz="0" w:space="0" w:color="auto"/>
        <w:bottom w:val="none" w:sz="0" w:space="0" w:color="auto"/>
        <w:right w:val="none" w:sz="0" w:space="0" w:color="auto"/>
      </w:divBdr>
    </w:div>
    <w:div w:id="675965263">
      <w:bodyDiv w:val="1"/>
      <w:marLeft w:val="0"/>
      <w:marRight w:val="0"/>
      <w:marTop w:val="0"/>
      <w:marBottom w:val="0"/>
      <w:divBdr>
        <w:top w:val="none" w:sz="0" w:space="0" w:color="auto"/>
        <w:left w:val="none" w:sz="0" w:space="0" w:color="auto"/>
        <w:bottom w:val="none" w:sz="0" w:space="0" w:color="auto"/>
        <w:right w:val="none" w:sz="0" w:space="0" w:color="auto"/>
      </w:divBdr>
    </w:div>
    <w:div w:id="1027758868">
      <w:bodyDiv w:val="1"/>
      <w:marLeft w:val="0"/>
      <w:marRight w:val="0"/>
      <w:marTop w:val="0"/>
      <w:marBottom w:val="0"/>
      <w:divBdr>
        <w:top w:val="none" w:sz="0" w:space="0" w:color="auto"/>
        <w:left w:val="none" w:sz="0" w:space="0" w:color="auto"/>
        <w:bottom w:val="none" w:sz="0" w:space="0" w:color="auto"/>
        <w:right w:val="none" w:sz="0" w:space="0" w:color="auto"/>
      </w:divBdr>
    </w:div>
    <w:div w:id="1032002822">
      <w:bodyDiv w:val="1"/>
      <w:marLeft w:val="0"/>
      <w:marRight w:val="0"/>
      <w:marTop w:val="0"/>
      <w:marBottom w:val="0"/>
      <w:divBdr>
        <w:top w:val="none" w:sz="0" w:space="0" w:color="auto"/>
        <w:left w:val="none" w:sz="0" w:space="0" w:color="auto"/>
        <w:bottom w:val="none" w:sz="0" w:space="0" w:color="auto"/>
        <w:right w:val="none" w:sz="0" w:space="0" w:color="auto"/>
      </w:divBdr>
    </w:div>
    <w:div w:id="1083064821">
      <w:bodyDiv w:val="1"/>
      <w:marLeft w:val="0"/>
      <w:marRight w:val="0"/>
      <w:marTop w:val="0"/>
      <w:marBottom w:val="0"/>
      <w:divBdr>
        <w:top w:val="none" w:sz="0" w:space="0" w:color="auto"/>
        <w:left w:val="none" w:sz="0" w:space="0" w:color="auto"/>
        <w:bottom w:val="none" w:sz="0" w:space="0" w:color="auto"/>
        <w:right w:val="none" w:sz="0" w:space="0" w:color="auto"/>
      </w:divBdr>
    </w:div>
    <w:div w:id="1112822724">
      <w:bodyDiv w:val="1"/>
      <w:marLeft w:val="0"/>
      <w:marRight w:val="0"/>
      <w:marTop w:val="0"/>
      <w:marBottom w:val="0"/>
      <w:divBdr>
        <w:top w:val="none" w:sz="0" w:space="0" w:color="auto"/>
        <w:left w:val="none" w:sz="0" w:space="0" w:color="auto"/>
        <w:bottom w:val="none" w:sz="0" w:space="0" w:color="auto"/>
        <w:right w:val="none" w:sz="0" w:space="0" w:color="auto"/>
      </w:divBdr>
    </w:div>
    <w:div w:id="1195538866">
      <w:bodyDiv w:val="1"/>
      <w:marLeft w:val="0"/>
      <w:marRight w:val="0"/>
      <w:marTop w:val="0"/>
      <w:marBottom w:val="0"/>
      <w:divBdr>
        <w:top w:val="none" w:sz="0" w:space="0" w:color="auto"/>
        <w:left w:val="none" w:sz="0" w:space="0" w:color="auto"/>
        <w:bottom w:val="none" w:sz="0" w:space="0" w:color="auto"/>
        <w:right w:val="none" w:sz="0" w:space="0" w:color="auto"/>
      </w:divBdr>
    </w:div>
    <w:div w:id="1236283293">
      <w:bodyDiv w:val="1"/>
      <w:marLeft w:val="0"/>
      <w:marRight w:val="0"/>
      <w:marTop w:val="0"/>
      <w:marBottom w:val="0"/>
      <w:divBdr>
        <w:top w:val="none" w:sz="0" w:space="0" w:color="auto"/>
        <w:left w:val="none" w:sz="0" w:space="0" w:color="auto"/>
        <w:bottom w:val="none" w:sz="0" w:space="0" w:color="auto"/>
        <w:right w:val="none" w:sz="0" w:space="0" w:color="auto"/>
      </w:divBdr>
    </w:div>
    <w:div w:id="1280531317">
      <w:bodyDiv w:val="1"/>
      <w:marLeft w:val="0"/>
      <w:marRight w:val="0"/>
      <w:marTop w:val="0"/>
      <w:marBottom w:val="0"/>
      <w:divBdr>
        <w:top w:val="none" w:sz="0" w:space="0" w:color="auto"/>
        <w:left w:val="none" w:sz="0" w:space="0" w:color="auto"/>
        <w:bottom w:val="none" w:sz="0" w:space="0" w:color="auto"/>
        <w:right w:val="none" w:sz="0" w:space="0" w:color="auto"/>
      </w:divBdr>
    </w:div>
    <w:div w:id="1350717757">
      <w:bodyDiv w:val="1"/>
      <w:marLeft w:val="0"/>
      <w:marRight w:val="0"/>
      <w:marTop w:val="0"/>
      <w:marBottom w:val="0"/>
      <w:divBdr>
        <w:top w:val="none" w:sz="0" w:space="0" w:color="auto"/>
        <w:left w:val="none" w:sz="0" w:space="0" w:color="auto"/>
        <w:bottom w:val="none" w:sz="0" w:space="0" w:color="auto"/>
        <w:right w:val="none" w:sz="0" w:space="0" w:color="auto"/>
      </w:divBdr>
    </w:div>
    <w:div w:id="1353650700">
      <w:bodyDiv w:val="1"/>
      <w:marLeft w:val="0"/>
      <w:marRight w:val="0"/>
      <w:marTop w:val="0"/>
      <w:marBottom w:val="0"/>
      <w:divBdr>
        <w:top w:val="none" w:sz="0" w:space="0" w:color="auto"/>
        <w:left w:val="none" w:sz="0" w:space="0" w:color="auto"/>
        <w:bottom w:val="none" w:sz="0" w:space="0" w:color="auto"/>
        <w:right w:val="none" w:sz="0" w:space="0" w:color="auto"/>
      </w:divBdr>
    </w:div>
    <w:div w:id="1595823327">
      <w:bodyDiv w:val="1"/>
      <w:marLeft w:val="0"/>
      <w:marRight w:val="0"/>
      <w:marTop w:val="0"/>
      <w:marBottom w:val="0"/>
      <w:divBdr>
        <w:top w:val="none" w:sz="0" w:space="0" w:color="auto"/>
        <w:left w:val="none" w:sz="0" w:space="0" w:color="auto"/>
        <w:bottom w:val="none" w:sz="0" w:space="0" w:color="auto"/>
        <w:right w:val="none" w:sz="0" w:space="0" w:color="auto"/>
      </w:divBdr>
    </w:div>
    <w:div w:id="1647970429">
      <w:bodyDiv w:val="1"/>
      <w:marLeft w:val="0"/>
      <w:marRight w:val="0"/>
      <w:marTop w:val="0"/>
      <w:marBottom w:val="0"/>
      <w:divBdr>
        <w:top w:val="none" w:sz="0" w:space="0" w:color="auto"/>
        <w:left w:val="none" w:sz="0" w:space="0" w:color="auto"/>
        <w:bottom w:val="none" w:sz="0" w:space="0" w:color="auto"/>
        <w:right w:val="none" w:sz="0" w:space="0" w:color="auto"/>
      </w:divBdr>
    </w:div>
    <w:div w:id="1681392050">
      <w:bodyDiv w:val="1"/>
      <w:marLeft w:val="0"/>
      <w:marRight w:val="0"/>
      <w:marTop w:val="0"/>
      <w:marBottom w:val="0"/>
      <w:divBdr>
        <w:top w:val="none" w:sz="0" w:space="0" w:color="auto"/>
        <w:left w:val="none" w:sz="0" w:space="0" w:color="auto"/>
        <w:bottom w:val="none" w:sz="0" w:space="0" w:color="auto"/>
        <w:right w:val="none" w:sz="0" w:space="0" w:color="auto"/>
      </w:divBdr>
    </w:div>
    <w:div w:id="1909412173">
      <w:bodyDiv w:val="1"/>
      <w:marLeft w:val="0"/>
      <w:marRight w:val="0"/>
      <w:marTop w:val="0"/>
      <w:marBottom w:val="0"/>
      <w:divBdr>
        <w:top w:val="none" w:sz="0" w:space="0" w:color="auto"/>
        <w:left w:val="none" w:sz="0" w:space="0" w:color="auto"/>
        <w:bottom w:val="none" w:sz="0" w:space="0" w:color="auto"/>
        <w:right w:val="none" w:sz="0" w:space="0" w:color="auto"/>
      </w:divBdr>
    </w:div>
    <w:div w:id="2009165273">
      <w:bodyDiv w:val="1"/>
      <w:marLeft w:val="0"/>
      <w:marRight w:val="0"/>
      <w:marTop w:val="0"/>
      <w:marBottom w:val="0"/>
      <w:divBdr>
        <w:top w:val="none" w:sz="0" w:space="0" w:color="auto"/>
        <w:left w:val="none" w:sz="0" w:space="0" w:color="auto"/>
        <w:bottom w:val="none" w:sz="0" w:space="0" w:color="auto"/>
        <w:right w:val="none" w:sz="0" w:space="0" w:color="auto"/>
      </w:divBdr>
    </w:div>
    <w:div w:id="2093622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663259-1199-428D-A290-107447A0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Zvjezdana Jelić</dc:creator>
  <cp:lastModifiedBy>HPmcp</cp:lastModifiedBy>
  <cp:revision>2</cp:revision>
  <cp:lastPrinted>2020-10-21T14:02:00Z</cp:lastPrinted>
  <dcterms:created xsi:type="dcterms:W3CDTF">2020-11-13T08:26:00Z</dcterms:created>
  <dcterms:modified xsi:type="dcterms:W3CDTF">2020-11-13T08:26:00Z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